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DC7A" w14:textId="77777777" w:rsidR="00CF79AE" w:rsidRDefault="00CF79AE" w:rsidP="00CF79AE">
      <w:pPr>
        <w:ind w:left="5670"/>
        <w:rPr>
          <w:rFonts w:ascii="Arial" w:hAnsi="Arial" w:cs="Arial"/>
          <w:sz w:val="22"/>
          <w:szCs w:val="22"/>
        </w:rPr>
      </w:pPr>
      <w:bookmarkStart w:id="0" w:name="_Hlk215049372"/>
      <w:r>
        <w:rPr>
          <w:rFonts w:ascii="Arial" w:hAnsi="Arial" w:cs="Arial"/>
          <w:sz w:val="22"/>
          <w:szCs w:val="22"/>
        </w:rPr>
        <w:t xml:space="preserve">Příloha  </w:t>
      </w:r>
    </w:p>
    <w:p w14:paraId="5F730863" w14:textId="77777777" w:rsidR="00CF79AE" w:rsidRDefault="00CF79AE" w:rsidP="00CF79AE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vlády</w:t>
      </w:r>
    </w:p>
    <w:p w14:paraId="5B15B686" w14:textId="6DAFCE0E" w:rsidR="00CF79AE" w:rsidRDefault="00CF79AE" w:rsidP="00CF79AE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dne </w:t>
      </w:r>
      <w:r w:rsidRPr="00E009F4">
        <w:rPr>
          <w:rFonts w:ascii="Arial" w:hAnsi="Arial" w:cs="Arial"/>
          <w:sz w:val="22"/>
          <w:szCs w:val="22"/>
        </w:rPr>
        <w:t xml:space="preserve">3. prosince </w:t>
      </w:r>
      <w:r>
        <w:rPr>
          <w:rFonts w:ascii="Arial" w:hAnsi="Arial" w:cs="Arial"/>
          <w:sz w:val="22"/>
          <w:szCs w:val="22"/>
        </w:rPr>
        <w:t xml:space="preserve">2025 č. </w:t>
      </w:r>
      <w:r>
        <w:rPr>
          <w:rFonts w:ascii="Arial" w:hAnsi="Arial" w:cs="Arial"/>
          <w:sz w:val="22"/>
          <w:szCs w:val="22"/>
        </w:rPr>
        <w:t>946</w:t>
      </w:r>
    </w:p>
    <w:bookmarkEnd w:id="0"/>
    <w:p w14:paraId="6B08167B" w14:textId="77777777" w:rsidR="00CF79AE" w:rsidRDefault="00CF79AE" w:rsidP="00CF79AE">
      <w:pPr>
        <w:ind w:left="5670"/>
        <w:rPr>
          <w:rFonts w:ascii="Arial" w:hAnsi="Arial" w:cs="Arial"/>
          <w:sz w:val="22"/>
          <w:szCs w:val="22"/>
        </w:rPr>
      </w:pPr>
    </w:p>
    <w:p w14:paraId="74FD90BE" w14:textId="77777777" w:rsidR="009362EE" w:rsidRPr="002E2A52" w:rsidRDefault="009362EE">
      <w:pPr>
        <w:rPr>
          <w:rFonts w:ascii="Arial" w:hAnsi="Arial" w:cs="Arial"/>
        </w:rPr>
      </w:pPr>
    </w:p>
    <w:p w14:paraId="316F7196" w14:textId="77777777" w:rsidR="007C0AD8" w:rsidRPr="002E2A52" w:rsidRDefault="007C0AD8">
      <w:pPr>
        <w:rPr>
          <w:rFonts w:ascii="Arial" w:hAnsi="Arial" w:cs="Arial"/>
        </w:rPr>
      </w:pPr>
    </w:p>
    <w:p w14:paraId="4216B36A" w14:textId="77777777" w:rsidR="00AE027D" w:rsidRPr="002E2A52" w:rsidRDefault="00A546CC" w:rsidP="00AE027D">
      <w:pPr>
        <w:jc w:val="center"/>
        <w:rPr>
          <w:rFonts w:ascii="Arial" w:hAnsi="Arial" w:cs="Arial"/>
          <w:b/>
          <w:sz w:val="22"/>
          <w:szCs w:val="22"/>
        </w:rPr>
      </w:pPr>
      <w:r w:rsidRPr="002E2A52">
        <w:rPr>
          <w:rFonts w:ascii="Arial" w:hAnsi="Arial" w:cs="Arial"/>
          <w:b/>
          <w:sz w:val="22"/>
          <w:szCs w:val="22"/>
        </w:rPr>
        <w:t>STANOVISKO VLÁDY</w:t>
      </w:r>
    </w:p>
    <w:p w14:paraId="7BEDAEAA" w14:textId="77777777" w:rsidR="00AE027D" w:rsidRPr="002E2A52" w:rsidRDefault="00AE027D" w:rsidP="00CB207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38A2C8A" w14:textId="79434583" w:rsidR="004248DA" w:rsidRPr="002E2A52" w:rsidRDefault="0061198E" w:rsidP="004B5BF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2A52">
        <w:rPr>
          <w:rFonts w:ascii="Arial" w:hAnsi="Arial" w:cs="Arial"/>
          <w:b/>
          <w:bCs/>
          <w:sz w:val="22"/>
          <w:szCs w:val="22"/>
        </w:rPr>
        <w:t xml:space="preserve">k </w:t>
      </w:r>
      <w:r w:rsidR="008F1476" w:rsidRPr="002E2A52">
        <w:rPr>
          <w:rFonts w:ascii="Arial" w:hAnsi="Arial" w:cs="Arial"/>
          <w:b/>
          <w:bCs/>
          <w:sz w:val="22"/>
          <w:szCs w:val="22"/>
        </w:rPr>
        <w:t>návrh</w:t>
      </w:r>
      <w:r w:rsidR="0029370C" w:rsidRPr="002E2A52">
        <w:rPr>
          <w:rFonts w:ascii="Arial" w:hAnsi="Arial" w:cs="Arial"/>
          <w:b/>
          <w:bCs/>
          <w:sz w:val="22"/>
          <w:szCs w:val="22"/>
        </w:rPr>
        <w:t>u</w:t>
      </w:r>
      <w:r w:rsidR="008F1476" w:rsidRPr="002E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29370C" w:rsidRPr="002E2A52">
        <w:rPr>
          <w:rFonts w:ascii="Arial" w:hAnsi="Arial" w:cs="Arial"/>
          <w:b/>
          <w:bCs/>
          <w:sz w:val="22"/>
          <w:szCs w:val="22"/>
        </w:rPr>
        <w:t xml:space="preserve">poslanců </w:t>
      </w:r>
      <w:r w:rsidR="00F735DF" w:rsidRPr="002E2A5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Ivana Bartoše a Olgy Richterové na vydání zákona </w:t>
      </w:r>
      <w:r w:rsidR="00E266F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 w:type="textWrapping" w:clear="all"/>
      </w:r>
      <w:r w:rsidR="00F735DF" w:rsidRPr="002E2A5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E266F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F735DF" w:rsidRPr="002E2A5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Úřadu pro prevenci korupce a</w:t>
      </w:r>
      <w:r w:rsidR="00E266F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F735DF" w:rsidRPr="002E2A5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střetu zájmů </w:t>
      </w:r>
      <w:r w:rsidR="00E266FA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 w:type="textWrapping" w:clear="all"/>
      </w:r>
      <w:r w:rsidR="00F735DF" w:rsidRPr="002E2A52"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(sněmovní tisk č. 6)</w:t>
      </w:r>
    </w:p>
    <w:p w14:paraId="2289DC1E" w14:textId="77777777" w:rsidR="00E262CA" w:rsidRPr="002E2A52" w:rsidRDefault="00E262CA" w:rsidP="00CB207F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09305192" w14:textId="4485C238" w:rsidR="00F735DF" w:rsidRPr="002E2A52" w:rsidRDefault="00A0226D" w:rsidP="000E37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2A52">
        <w:rPr>
          <w:rFonts w:ascii="Arial" w:hAnsi="Arial" w:cs="Arial"/>
          <w:sz w:val="22"/>
          <w:szCs w:val="22"/>
        </w:rPr>
        <w:t xml:space="preserve">Vláda na své schůzi dne </w:t>
      </w:r>
      <w:r w:rsidR="00F735DF" w:rsidRPr="002E2A52">
        <w:rPr>
          <w:rFonts w:ascii="Arial" w:hAnsi="Arial" w:cs="Arial"/>
          <w:sz w:val="22"/>
          <w:szCs w:val="22"/>
        </w:rPr>
        <w:t>3</w:t>
      </w:r>
      <w:r w:rsidRPr="002E2A52">
        <w:rPr>
          <w:rFonts w:ascii="Arial" w:hAnsi="Arial" w:cs="Arial"/>
          <w:sz w:val="22"/>
          <w:szCs w:val="22"/>
        </w:rPr>
        <w:t xml:space="preserve">. </w:t>
      </w:r>
      <w:r w:rsidR="00F735DF" w:rsidRPr="002E2A52">
        <w:rPr>
          <w:rFonts w:ascii="Arial" w:hAnsi="Arial" w:cs="Arial"/>
          <w:sz w:val="22"/>
          <w:szCs w:val="22"/>
        </w:rPr>
        <w:t>prosince</w:t>
      </w:r>
      <w:r w:rsidR="0061198E" w:rsidRPr="002E2A52">
        <w:rPr>
          <w:rFonts w:ascii="Arial" w:hAnsi="Arial" w:cs="Arial"/>
          <w:sz w:val="22"/>
          <w:szCs w:val="22"/>
        </w:rPr>
        <w:t xml:space="preserve"> 202</w:t>
      </w:r>
      <w:r w:rsidR="00B96C9E" w:rsidRPr="002E2A52">
        <w:rPr>
          <w:rFonts w:ascii="Arial" w:hAnsi="Arial" w:cs="Arial"/>
          <w:sz w:val="22"/>
          <w:szCs w:val="22"/>
        </w:rPr>
        <w:t>5</w:t>
      </w:r>
      <w:r w:rsidRPr="002E2A52">
        <w:rPr>
          <w:rFonts w:ascii="Arial" w:hAnsi="Arial" w:cs="Arial"/>
          <w:sz w:val="22"/>
          <w:szCs w:val="22"/>
        </w:rPr>
        <w:t xml:space="preserve"> projednala a posoudila návrh </w:t>
      </w:r>
      <w:r w:rsidR="00F735DF" w:rsidRPr="002E2A52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>zákona o Úřadu pro prevenci korupce a střetu zájmů (sněmovní tisk č. 6)</w:t>
      </w:r>
      <w:r w:rsidR="004B5BFB" w:rsidRPr="002E2A52">
        <w:rPr>
          <w:rFonts w:ascii="Arial" w:hAnsi="Arial" w:cs="Arial"/>
          <w:sz w:val="22"/>
          <w:szCs w:val="22"/>
        </w:rPr>
        <w:t xml:space="preserve"> </w:t>
      </w:r>
      <w:r w:rsidR="005D0679" w:rsidRPr="002E2A52">
        <w:rPr>
          <w:rFonts w:ascii="Arial" w:hAnsi="Arial" w:cs="Arial"/>
          <w:sz w:val="22"/>
          <w:szCs w:val="22"/>
        </w:rPr>
        <w:t>a </w:t>
      </w:r>
      <w:r w:rsidR="00AE48FA" w:rsidRPr="002E2A52">
        <w:rPr>
          <w:rFonts w:ascii="Arial" w:hAnsi="Arial" w:cs="Arial"/>
          <w:sz w:val="22"/>
          <w:szCs w:val="22"/>
        </w:rPr>
        <w:t xml:space="preserve">zaujala k němu </w:t>
      </w:r>
      <w:r w:rsidR="00F735DF" w:rsidRPr="000E3772">
        <w:rPr>
          <w:rFonts w:ascii="Arial" w:hAnsi="Arial" w:cs="Arial"/>
          <w:b/>
          <w:bCs/>
          <w:sz w:val="22"/>
          <w:szCs w:val="22"/>
        </w:rPr>
        <w:t>ne</w:t>
      </w:r>
      <w:r w:rsidR="00177086" w:rsidRPr="000E3772">
        <w:rPr>
          <w:rFonts w:ascii="Arial" w:hAnsi="Arial" w:cs="Arial"/>
          <w:b/>
          <w:bCs/>
          <w:sz w:val="22"/>
          <w:szCs w:val="22"/>
        </w:rPr>
        <w:t>souhlasné</w:t>
      </w:r>
      <w:r w:rsidR="00AE48FA" w:rsidRPr="000E3772">
        <w:rPr>
          <w:rFonts w:ascii="Arial" w:hAnsi="Arial" w:cs="Arial"/>
          <w:b/>
          <w:bCs/>
          <w:sz w:val="22"/>
          <w:szCs w:val="22"/>
        </w:rPr>
        <w:t xml:space="preserve"> </w:t>
      </w:r>
      <w:r w:rsidR="00AE48FA" w:rsidRPr="000E3772">
        <w:rPr>
          <w:rFonts w:ascii="Arial" w:hAnsi="Arial"/>
          <w:b/>
          <w:bCs/>
          <w:sz w:val="22"/>
        </w:rPr>
        <w:t>stanovisko</w:t>
      </w:r>
      <w:r w:rsidR="00F735DF" w:rsidRPr="002E2A52">
        <w:rPr>
          <w:rFonts w:ascii="Arial" w:hAnsi="Arial" w:cs="Arial"/>
          <w:sz w:val="22"/>
          <w:szCs w:val="22"/>
        </w:rPr>
        <w:t>, a to zejména z následujících důvodů:</w:t>
      </w:r>
    </w:p>
    <w:p w14:paraId="1DB60783" w14:textId="77777777" w:rsidR="00F735DF" w:rsidRPr="002E2A52" w:rsidRDefault="00F735DF" w:rsidP="000E37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AFE246" w14:textId="3A187A92" w:rsidR="003F5BC4" w:rsidRDefault="0030182A" w:rsidP="000E3772">
      <w:pPr>
        <w:numPr>
          <w:ilvl w:val="0"/>
          <w:numId w:val="1"/>
        </w:numPr>
        <w:spacing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bookmarkStart w:id="1" w:name="_Hlk214546860"/>
      <w:r w:rsidRPr="0030182A">
        <w:rPr>
          <w:rFonts w:ascii="Arial" w:hAnsi="Arial" w:cs="Arial"/>
          <w:bCs/>
          <w:sz w:val="22"/>
          <w:szCs w:val="22"/>
        </w:rPr>
        <w:t xml:space="preserve">Navrhovaná právní úprava představuje </w:t>
      </w:r>
      <w:r w:rsidR="000E3772">
        <w:rPr>
          <w:rFonts w:ascii="Arial" w:hAnsi="Arial" w:cs="Arial"/>
          <w:bCs/>
          <w:sz w:val="22"/>
          <w:szCs w:val="22"/>
        </w:rPr>
        <w:t xml:space="preserve">zásadní </w:t>
      </w:r>
      <w:r w:rsidRPr="0030182A">
        <w:rPr>
          <w:rFonts w:ascii="Arial" w:hAnsi="Arial" w:cs="Arial"/>
          <w:bCs/>
          <w:sz w:val="22"/>
          <w:szCs w:val="22"/>
        </w:rPr>
        <w:t>koncepční změnu s významnými dopady a měla by tak být podrobena předchozí detailní odborné diskusi</w:t>
      </w:r>
      <w:r w:rsidR="000E3772">
        <w:rPr>
          <w:rFonts w:ascii="Arial" w:hAnsi="Arial" w:cs="Arial"/>
          <w:bCs/>
          <w:sz w:val="22"/>
          <w:szCs w:val="22"/>
        </w:rPr>
        <w:t>, která by</w:t>
      </w:r>
      <w:r w:rsidR="003F5BC4">
        <w:rPr>
          <w:rFonts w:ascii="Arial" w:hAnsi="Arial" w:cs="Arial"/>
          <w:bCs/>
          <w:sz w:val="22"/>
          <w:szCs w:val="22"/>
        </w:rPr>
        <w:t> </w:t>
      </w:r>
      <w:r w:rsidR="000E3772">
        <w:rPr>
          <w:rFonts w:ascii="Arial" w:hAnsi="Arial" w:cs="Arial"/>
          <w:bCs/>
          <w:sz w:val="22"/>
          <w:szCs w:val="22"/>
        </w:rPr>
        <w:t>mohla případně přinést argumenty pro nutnost takové změny nebo naopak takový záměr modifikovat, což lze spolehlivě zajistit</w:t>
      </w:r>
      <w:r w:rsidR="00E266FA">
        <w:rPr>
          <w:rFonts w:ascii="Arial" w:hAnsi="Arial" w:cs="Arial"/>
          <w:bCs/>
          <w:sz w:val="22"/>
          <w:szCs w:val="22"/>
        </w:rPr>
        <w:t xml:space="preserve"> </w:t>
      </w:r>
      <w:r w:rsidR="000E3772">
        <w:rPr>
          <w:rFonts w:ascii="Arial" w:hAnsi="Arial" w:cs="Arial"/>
          <w:bCs/>
          <w:sz w:val="22"/>
          <w:szCs w:val="22"/>
        </w:rPr>
        <w:t xml:space="preserve">pouze </w:t>
      </w:r>
      <w:r w:rsidRPr="0030182A">
        <w:rPr>
          <w:rFonts w:ascii="Arial" w:hAnsi="Arial" w:cs="Arial"/>
          <w:bCs/>
          <w:sz w:val="22"/>
          <w:szCs w:val="22"/>
        </w:rPr>
        <w:t xml:space="preserve">formou </w:t>
      </w:r>
      <w:r w:rsidR="000E3772">
        <w:rPr>
          <w:rFonts w:ascii="Arial" w:hAnsi="Arial" w:cs="Arial"/>
          <w:bCs/>
          <w:sz w:val="22"/>
          <w:szCs w:val="22"/>
        </w:rPr>
        <w:t xml:space="preserve">přípravy </w:t>
      </w:r>
      <w:r w:rsidRPr="0030182A">
        <w:rPr>
          <w:rFonts w:ascii="Arial" w:hAnsi="Arial" w:cs="Arial"/>
          <w:bCs/>
          <w:sz w:val="22"/>
          <w:szCs w:val="22"/>
        </w:rPr>
        <w:t>vládního návrhu zákona po projednání ve</w:t>
      </w:r>
      <w:r w:rsidR="00E266FA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standardním meziresortním připomínkovém řízení</w:t>
      </w:r>
      <w:r w:rsidR="000E3772">
        <w:rPr>
          <w:rFonts w:ascii="Arial" w:hAnsi="Arial" w:cs="Arial"/>
          <w:bCs/>
          <w:sz w:val="22"/>
          <w:szCs w:val="22"/>
        </w:rPr>
        <w:t xml:space="preserve"> a nikoli poslaneckým návrhem zákona</w:t>
      </w:r>
      <w:r w:rsidRPr="0030182A">
        <w:rPr>
          <w:rFonts w:ascii="Arial" w:hAnsi="Arial" w:cs="Arial"/>
          <w:bCs/>
          <w:sz w:val="22"/>
          <w:szCs w:val="22"/>
        </w:rPr>
        <w:t>.</w:t>
      </w:r>
    </w:p>
    <w:p w14:paraId="76924927" w14:textId="58230D8D" w:rsidR="00A13BF6" w:rsidRDefault="0030182A" w:rsidP="003F5BC4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>Materiál</w:t>
      </w:r>
      <w:r w:rsidR="00A13BF6">
        <w:rPr>
          <w:rFonts w:ascii="Arial" w:hAnsi="Arial" w:cs="Arial"/>
          <w:bCs/>
          <w:sz w:val="22"/>
          <w:szCs w:val="22"/>
        </w:rPr>
        <w:t xml:space="preserve"> předloženého návrhu zákona</w:t>
      </w:r>
      <w:r w:rsidRPr="0030182A">
        <w:rPr>
          <w:rFonts w:ascii="Arial" w:hAnsi="Arial" w:cs="Arial"/>
          <w:bCs/>
          <w:sz w:val="22"/>
          <w:szCs w:val="22"/>
        </w:rPr>
        <w:t xml:space="preserve"> neobsahuje detailnější a skutečně přesvědčivé argumenty v tom smyslu, </w:t>
      </w:r>
      <w:r w:rsidR="00A13BF6">
        <w:rPr>
          <w:rFonts w:ascii="Arial" w:hAnsi="Arial" w:cs="Arial"/>
          <w:bCs/>
          <w:sz w:val="22"/>
          <w:szCs w:val="22"/>
        </w:rPr>
        <w:t xml:space="preserve">zda, </w:t>
      </w:r>
      <w:r w:rsidRPr="0030182A">
        <w:rPr>
          <w:rFonts w:ascii="Arial" w:hAnsi="Arial" w:cs="Arial"/>
          <w:bCs/>
          <w:sz w:val="22"/>
          <w:szCs w:val="22"/>
        </w:rPr>
        <w:t>proč a v čem je stávající právní úprava nedostatečná, nevyhovující či nefunkční. Omezuje se na obecné konstatace například v tom smyslu, že platný stav, v němž jsou protikorupční agendy roztříštěny mezi Úřad pro dohled nad hospodařením politických stran a hnutí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Ministerstvo spravedlnosti, vykazuje systémové nevýhody z hlediska nezávislosti, jednotnosti metodiky, propojitelnosti dat a kontinuity dohledu. Plánovaná institucionální transformace, včetně převodu agend z</w:t>
      </w:r>
      <w:r w:rsidR="00A13BF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Ministerstva spravedlnosti a přesunu sídla nově vzniklého </w:t>
      </w:r>
      <w:r w:rsidRPr="002E2A52">
        <w:rPr>
          <w:rFonts w:ascii="Arial" w:hAnsi="Arial" w:cs="Arial"/>
          <w:bCs/>
          <w:sz w:val="22"/>
          <w:szCs w:val="22"/>
        </w:rPr>
        <w:t xml:space="preserve">Úřadu pro prevenci korupce </w:t>
      </w:r>
      <w:r w:rsidRPr="00E266FA">
        <w:rPr>
          <w:rFonts w:ascii="Arial" w:hAnsi="Arial" w:cs="Arial"/>
          <w:bCs/>
          <w:spacing w:val="-4"/>
          <w:sz w:val="22"/>
          <w:szCs w:val="22"/>
        </w:rPr>
        <w:t>a střetu zájmů, není podložena detailní analýzou logistických, ekonomických a organizačních</w:t>
      </w:r>
      <w:r w:rsidRPr="0030182A">
        <w:rPr>
          <w:rFonts w:ascii="Arial" w:hAnsi="Arial" w:cs="Arial"/>
          <w:bCs/>
          <w:sz w:val="22"/>
          <w:szCs w:val="22"/>
        </w:rPr>
        <w:t xml:space="preserve"> dopadů</w:t>
      </w:r>
      <w:r w:rsidR="00A13BF6">
        <w:rPr>
          <w:rFonts w:ascii="Arial" w:hAnsi="Arial" w:cs="Arial"/>
          <w:bCs/>
          <w:sz w:val="22"/>
          <w:szCs w:val="22"/>
        </w:rPr>
        <w:t xml:space="preserve"> takového návrhu.</w:t>
      </w:r>
      <w:r w:rsidRPr="0030182A">
        <w:rPr>
          <w:rFonts w:ascii="Arial" w:hAnsi="Arial" w:cs="Arial"/>
          <w:bCs/>
          <w:sz w:val="22"/>
          <w:szCs w:val="22"/>
        </w:rPr>
        <w:t xml:space="preserve"> Tato analýza by měla sloužit jako podklad pro posouzení, zda </w:t>
      </w:r>
      <w:r w:rsidRPr="00E266FA">
        <w:rPr>
          <w:rFonts w:ascii="Arial" w:hAnsi="Arial" w:cs="Arial"/>
          <w:bCs/>
          <w:spacing w:val="-2"/>
          <w:sz w:val="22"/>
          <w:szCs w:val="22"/>
        </w:rPr>
        <w:t>tento krok bude skutečně efektivní a provedení změn nevyvolá neúměrnou administrativní</w:t>
      </w:r>
      <w:r w:rsidRPr="0030182A">
        <w:rPr>
          <w:rFonts w:ascii="Arial" w:hAnsi="Arial" w:cs="Arial"/>
          <w:bCs/>
          <w:sz w:val="22"/>
          <w:szCs w:val="22"/>
        </w:rPr>
        <w:t xml:space="preserve"> a finanční zátěž. Vzhledem k tomu, že se jedná o významnou a poměrně rozsáhlou změnu současného </w:t>
      </w:r>
      <w:r w:rsidR="00B63477">
        <w:rPr>
          <w:rFonts w:ascii="Arial" w:hAnsi="Arial" w:cs="Arial"/>
          <w:bCs/>
          <w:sz w:val="22"/>
          <w:szCs w:val="22"/>
        </w:rPr>
        <w:t>stavu</w:t>
      </w:r>
      <w:r w:rsidRPr="0030182A">
        <w:rPr>
          <w:rFonts w:ascii="Arial" w:hAnsi="Arial" w:cs="Arial"/>
          <w:bCs/>
          <w:sz w:val="22"/>
          <w:szCs w:val="22"/>
        </w:rPr>
        <w:t xml:space="preserve">, měla by návrhu na zřízení nového </w:t>
      </w:r>
      <w:r w:rsidRPr="002E2A52">
        <w:rPr>
          <w:rFonts w:ascii="Arial" w:hAnsi="Arial" w:cs="Arial"/>
          <w:bCs/>
          <w:sz w:val="22"/>
          <w:szCs w:val="22"/>
        </w:rPr>
        <w:t>Úřadu pro prevenci korupce a střetu zájmů</w:t>
      </w:r>
      <w:r w:rsidRPr="0030182A">
        <w:rPr>
          <w:rFonts w:ascii="Arial" w:hAnsi="Arial" w:cs="Arial"/>
          <w:bCs/>
          <w:sz w:val="22"/>
          <w:szCs w:val="22"/>
        </w:rPr>
        <w:t xml:space="preserve"> předcházet širší společenská a politická diskuse, jistá obezřetnost a hlubší </w:t>
      </w:r>
      <w:r w:rsidRPr="0030182A">
        <w:rPr>
          <w:rFonts w:ascii="Arial" w:hAnsi="Arial" w:cs="Arial"/>
          <w:bCs/>
          <w:sz w:val="22"/>
          <w:szCs w:val="22"/>
        </w:rPr>
        <w:lastRenderedPageBreak/>
        <w:t>rozpracování jednotlivých argumentů podporujících takový návrh se současným důkladným zhodnocením negativ stávajícího stavu.</w:t>
      </w:r>
      <w:r w:rsidRPr="002E2A52">
        <w:rPr>
          <w:rFonts w:ascii="Arial" w:hAnsi="Arial" w:cs="Arial"/>
          <w:bCs/>
          <w:sz w:val="22"/>
          <w:szCs w:val="22"/>
        </w:rPr>
        <w:t xml:space="preserve"> </w:t>
      </w:r>
    </w:p>
    <w:p w14:paraId="7A052449" w14:textId="422BE1C9" w:rsidR="0030182A" w:rsidRPr="002E2A52" w:rsidRDefault="00A13BF6" w:rsidP="00A13BF6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Vláda dále poznamenává, že j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e-li cílem </w:t>
      </w:r>
      <w:r>
        <w:rPr>
          <w:rFonts w:ascii="Arial" w:hAnsi="Arial" w:cs="Arial"/>
          <w:bCs/>
          <w:sz w:val="22"/>
          <w:szCs w:val="22"/>
        </w:rPr>
        <w:t xml:space="preserve">předkladatelů </w:t>
      </w:r>
      <w:r w:rsidR="0030182A" w:rsidRPr="0030182A">
        <w:rPr>
          <w:rFonts w:ascii="Arial" w:hAnsi="Arial" w:cs="Arial"/>
          <w:bCs/>
          <w:sz w:val="22"/>
          <w:szCs w:val="22"/>
        </w:rPr>
        <w:t>rozšířit dohledové kompetence o</w:t>
      </w:r>
      <w:r>
        <w:rPr>
          <w:rFonts w:ascii="Arial" w:hAnsi="Arial" w:cs="Arial"/>
          <w:bCs/>
          <w:sz w:val="22"/>
          <w:szCs w:val="22"/>
        </w:rPr>
        <w:t> 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další oblasti, </w:t>
      </w:r>
      <w:r>
        <w:rPr>
          <w:rFonts w:ascii="Arial" w:hAnsi="Arial" w:cs="Arial"/>
          <w:bCs/>
          <w:sz w:val="22"/>
          <w:szCs w:val="22"/>
        </w:rPr>
        <w:t>bylo by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 efektivnější, ekonomičtější a institucionálně bezpečnější tyto kompetence svěřit stávajícímu úřadu, nikoli zakládat </w:t>
      </w:r>
      <w:r w:rsidR="0030182A" w:rsidRPr="002E2A52">
        <w:rPr>
          <w:rFonts w:ascii="Arial" w:hAnsi="Arial" w:cs="Arial"/>
          <w:bCs/>
          <w:sz w:val="22"/>
          <w:szCs w:val="22"/>
        </w:rPr>
        <w:t>úřad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 nový. Rozšíření působnosti však současně předpokládá výrazné personální posílení a adekvátní materiální zabezpečení, aby nově svěřené agendy nebyly vykonávány pouze formálně nebo na</w:t>
      </w:r>
      <w:r w:rsidR="003F5BC4">
        <w:rPr>
          <w:rFonts w:ascii="Arial" w:hAnsi="Arial" w:cs="Arial"/>
          <w:bCs/>
          <w:sz w:val="22"/>
          <w:szCs w:val="22"/>
        </w:rPr>
        <w:t> </w:t>
      </w:r>
      <w:r w:rsidR="0030182A" w:rsidRPr="0030182A">
        <w:rPr>
          <w:rFonts w:ascii="Arial" w:hAnsi="Arial" w:cs="Arial"/>
          <w:bCs/>
          <w:sz w:val="22"/>
          <w:szCs w:val="22"/>
        </w:rPr>
        <w:t>úkor stávajících dohledových činností.</w:t>
      </w:r>
    </w:p>
    <w:p w14:paraId="324DF06B" w14:textId="4E3A2452" w:rsidR="0030182A" w:rsidRPr="0030182A" w:rsidRDefault="0030182A" w:rsidP="00A13BF6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>V obecné rovině lze konstatovat, že trend zřizování tzv. nezávislých ústředních správních úřadů pro výkon vybraných agend spojených s bojem proti korupci a střetu zájmů nebo posilováním transparentnosti výkonu veřejné moci v evropském prostoru i globálně dlouhodobě sílí. Nezávislost je v tomto kontextu pojímána jako personální, organizační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finanční nezávislost na vládě příslušné země, které je typicky dosahováno organizační odděleností, přímým financováním ze státního rozpočtu a kvalifikovaným způsobem </w:t>
      </w:r>
      <w:r w:rsidRPr="00E266FA">
        <w:rPr>
          <w:rFonts w:ascii="Arial" w:hAnsi="Arial" w:cs="Arial"/>
          <w:bCs/>
          <w:spacing w:val="-2"/>
          <w:sz w:val="22"/>
          <w:szCs w:val="22"/>
        </w:rPr>
        <w:t>výběru čelných představitelů úřadu. Častým argumentem, který bývá uváděn ve prospěch</w:t>
      </w:r>
      <w:r w:rsidRPr="0030182A">
        <w:rPr>
          <w:rFonts w:ascii="Arial" w:hAnsi="Arial" w:cs="Arial"/>
          <w:bCs/>
          <w:sz w:val="22"/>
          <w:szCs w:val="22"/>
        </w:rPr>
        <w:t xml:space="preserve"> správních úřadů relativně nezávislých na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vládě a aktuální politické reprezentaci, je jejich zvýšená akceschopnost v korupčních a jiných případech sahajících do vyšších pater politiky, tedy</w:t>
      </w:r>
      <w:r w:rsidR="00FA61D1">
        <w:rPr>
          <w:rFonts w:ascii="Arial" w:hAnsi="Arial" w:cs="Arial"/>
          <w:bCs/>
          <w:sz w:val="22"/>
          <w:szCs w:val="22"/>
        </w:rPr>
        <w:t xml:space="preserve"> v případech,</w:t>
      </w:r>
      <w:r w:rsidRPr="0030182A">
        <w:rPr>
          <w:rFonts w:ascii="Arial" w:hAnsi="Arial" w:cs="Arial"/>
          <w:bCs/>
          <w:sz w:val="22"/>
          <w:szCs w:val="22"/>
        </w:rPr>
        <w:t xml:space="preserve"> má-li se působnost úřadu dotýkat zejména nejvýše postavených nositelů veřejných funkcí v čele s poslanci, senátory a členy vlády. Výkonu kompetence v zákonných mantinelech zde svědčí okolnost, že v čele úřadu stojí osoba, která není členem vlády a její jmenování a odvolání typicky podléhá kvalifikované proceduře za spolupůsobení vlády, prezidenta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="00E266FA">
        <w:rPr>
          <w:rFonts w:ascii="Arial" w:hAnsi="Arial" w:cs="Arial"/>
          <w:bCs/>
          <w:sz w:val="22"/>
          <w:szCs w:val="22"/>
        </w:rPr>
        <w:t>P</w:t>
      </w:r>
      <w:r w:rsidRPr="0030182A">
        <w:rPr>
          <w:rFonts w:ascii="Arial" w:hAnsi="Arial" w:cs="Arial"/>
          <w:bCs/>
          <w:sz w:val="22"/>
          <w:szCs w:val="22"/>
        </w:rPr>
        <w:t>arlamentu. Tato osoba má pak vyšší způsobilost ochránit před politickými vlivy vyplývajícími nejenom z pravomocí spojených s danou veřejnou funkcí, ale také ze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stranických a jiných sociálních vazeb, rovněž personální substrát daného úřadu. Obdobně je také argumentováno předkladateli navrhovaného zákona. Na druhou stranu je však </w:t>
      </w:r>
      <w:r w:rsidR="00AA2227">
        <w:rPr>
          <w:rFonts w:ascii="Arial" w:hAnsi="Arial" w:cs="Arial"/>
          <w:bCs/>
          <w:sz w:val="22"/>
          <w:szCs w:val="22"/>
        </w:rPr>
        <w:t xml:space="preserve">podle názoru vlády </w:t>
      </w:r>
      <w:r w:rsidRPr="0030182A">
        <w:rPr>
          <w:rFonts w:ascii="Arial" w:hAnsi="Arial" w:cs="Arial"/>
          <w:bCs/>
          <w:sz w:val="22"/>
          <w:szCs w:val="22"/>
        </w:rPr>
        <w:t>třeba uvést, že ze</w:t>
      </w:r>
      <w:r w:rsidR="00AA222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stejných důvodů nezávislost úřadu znamená, že osoba stojící v jeho čele nenese za</w:t>
      </w:r>
      <w:r w:rsidR="00AA222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výkon působnosti úřadu politickou odpovědnost vůči Poslanecké sněmovně, a to navzdory tomu, že jde o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sféru výkonné moci, za niž jinak odpovídá vláda jako její vrcholný orgán. Ta přitom má jen omezené nebo žádné nástroje, jak zjednat nápravu v případě, že nezávislý úřad své kompetence nevykonává řádným způsobem. Tomuto riziku přitom nestačí čelit legislativním optimismem, pro nějž je typická tvorba zákonů s ne vždy opodstatněným předpokladem, že se nových kompetencí zhostí osvícení lidé. V tomto světle nezávislé úřady </w:t>
      </w:r>
      <w:r w:rsidR="00AA2227">
        <w:rPr>
          <w:rFonts w:ascii="Arial" w:hAnsi="Arial" w:cs="Arial"/>
          <w:bCs/>
          <w:sz w:val="22"/>
          <w:szCs w:val="22"/>
        </w:rPr>
        <w:t xml:space="preserve">mohou </w:t>
      </w:r>
      <w:r w:rsidRPr="0030182A">
        <w:rPr>
          <w:rFonts w:ascii="Arial" w:hAnsi="Arial" w:cs="Arial"/>
          <w:bCs/>
          <w:sz w:val="22"/>
          <w:szCs w:val="22"/>
        </w:rPr>
        <w:t>představ</w:t>
      </w:r>
      <w:r w:rsidR="00AA2227">
        <w:rPr>
          <w:rFonts w:ascii="Arial" w:hAnsi="Arial" w:cs="Arial"/>
          <w:bCs/>
          <w:sz w:val="22"/>
          <w:szCs w:val="22"/>
        </w:rPr>
        <w:t>ovat</w:t>
      </w:r>
      <w:r w:rsidRPr="0030182A">
        <w:rPr>
          <w:rFonts w:ascii="Arial" w:hAnsi="Arial" w:cs="Arial"/>
          <w:bCs/>
          <w:sz w:val="22"/>
          <w:szCs w:val="22"/>
        </w:rPr>
        <w:t xml:space="preserve"> jisté relativně významné omezení principu parlamentní vlády jako principu demokracie, když část výkonné moci fakticky vymaňují z kontroly přímo voleným orgánem státu s nejvyšší mírou demokratické legitimity. Proto by toto řešení mělo </w:t>
      </w:r>
      <w:r w:rsidRPr="0030182A">
        <w:rPr>
          <w:rFonts w:ascii="Arial" w:hAnsi="Arial" w:cs="Arial"/>
          <w:bCs/>
          <w:sz w:val="22"/>
          <w:szCs w:val="22"/>
        </w:rPr>
        <w:lastRenderedPageBreak/>
        <w:t>být pečlivě zvažováno zejména v oborech, v nichž požadavek na nezávislost kompetentního úřadu nevyplývá přímo z tradičních rolí státu nebo práva Evropské unie, v nichž je jejich nezávislé postavení zpravidla odůvodněno funkcí brzdy limitující vládu ve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zneužití citlivých nástrojů </w:t>
      </w:r>
      <w:r w:rsidR="00AA2227">
        <w:rPr>
          <w:rFonts w:ascii="Arial" w:hAnsi="Arial" w:cs="Arial"/>
          <w:bCs/>
          <w:sz w:val="22"/>
          <w:szCs w:val="22"/>
        </w:rPr>
        <w:t xml:space="preserve">jako např. </w:t>
      </w:r>
      <w:r w:rsidRPr="0030182A">
        <w:rPr>
          <w:rFonts w:ascii="Arial" w:hAnsi="Arial" w:cs="Arial"/>
          <w:bCs/>
          <w:sz w:val="22"/>
          <w:szCs w:val="22"/>
        </w:rPr>
        <w:t>tisku bankovek pro politické cíle</w:t>
      </w:r>
      <w:r w:rsidR="00AA2227">
        <w:rPr>
          <w:rFonts w:ascii="Arial" w:hAnsi="Arial" w:cs="Arial"/>
          <w:bCs/>
          <w:sz w:val="22"/>
          <w:szCs w:val="22"/>
        </w:rPr>
        <w:t xml:space="preserve"> apod</w:t>
      </w:r>
      <w:r w:rsidRPr="0030182A">
        <w:rPr>
          <w:rFonts w:ascii="Arial" w:hAnsi="Arial" w:cs="Arial"/>
          <w:bCs/>
          <w:sz w:val="22"/>
          <w:szCs w:val="22"/>
        </w:rPr>
        <w:t xml:space="preserve">. V posledku je </w:t>
      </w:r>
      <w:r w:rsidR="00AA2227">
        <w:rPr>
          <w:rFonts w:ascii="Arial" w:hAnsi="Arial" w:cs="Arial"/>
          <w:bCs/>
          <w:sz w:val="22"/>
          <w:szCs w:val="22"/>
        </w:rPr>
        <w:t xml:space="preserve">tedy primárně </w:t>
      </w:r>
      <w:r w:rsidRPr="0030182A">
        <w:rPr>
          <w:rFonts w:ascii="Arial" w:hAnsi="Arial" w:cs="Arial"/>
          <w:bCs/>
          <w:sz w:val="22"/>
          <w:szCs w:val="22"/>
        </w:rPr>
        <w:t>politickým rozhodnutím uvážení, zda jistý demokratický deficit, kterým se nezávislé úřady mohou vyznačovat, může být v navrhovaném případě vyvážen požadavky právního státu a přínosem pro chráněné veřejné zájmy za zajištění procesní racionality zákonodárství.</w:t>
      </w:r>
    </w:p>
    <w:p w14:paraId="730D01EC" w14:textId="078D9EB5" w:rsidR="0030182A" w:rsidRPr="0030182A" w:rsidRDefault="00AA2227" w:rsidP="00AA2227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Vláda upozorňuje, že v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 důvodové zprávě k předloženému návrhu zákona nejsou zejména řádně zanalyzovány a vyčísleny předpokládané náklady na státní rozpočet související s</w:t>
      </w:r>
      <w:r w:rsidR="003F5BC4">
        <w:rPr>
          <w:rFonts w:ascii="Arial" w:hAnsi="Arial" w:cs="Arial"/>
          <w:bCs/>
          <w:sz w:val="22"/>
          <w:szCs w:val="22"/>
        </w:rPr>
        <w:t> 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transformací úřadů (ani případné další náklady na ostatní veřejné rozpočty). Náklady na takto rozsáhlý přesun kompetencí je </w:t>
      </w:r>
      <w:r>
        <w:rPr>
          <w:rFonts w:ascii="Arial" w:hAnsi="Arial" w:cs="Arial"/>
          <w:bCs/>
          <w:sz w:val="22"/>
          <w:szCs w:val="22"/>
        </w:rPr>
        <w:t xml:space="preserve">však </w:t>
      </w:r>
      <w:r w:rsidR="0030182A" w:rsidRPr="0030182A">
        <w:rPr>
          <w:rFonts w:ascii="Arial" w:hAnsi="Arial" w:cs="Arial"/>
          <w:bCs/>
          <w:sz w:val="22"/>
          <w:szCs w:val="22"/>
        </w:rPr>
        <w:t>nezbytné řádně zanalyzovat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</w:t>
      </w:r>
      <w:r w:rsidR="0030182A" w:rsidRPr="0030182A">
        <w:rPr>
          <w:rFonts w:ascii="Arial" w:hAnsi="Arial" w:cs="Arial"/>
          <w:bCs/>
          <w:sz w:val="22"/>
          <w:szCs w:val="22"/>
        </w:rPr>
        <w:t>onstatování předkladatelů, že</w:t>
      </w:r>
      <w:r w:rsidR="0030182A" w:rsidRPr="002E2A52">
        <w:rPr>
          <w:rFonts w:ascii="Arial" w:hAnsi="Arial" w:cs="Arial"/>
          <w:bCs/>
          <w:sz w:val="22"/>
          <w:szCs w:val="22"/>
        </w:rPr>
        <w:t> </w:t>
      </w:r>
      <w:r w:rsidR="0030182A" w:rsidRPr="0030182A">
        <w:rPr>
          <w:rFonts w:ascii="Arial" w:hAnsi="Arial" w:cs="Arial"/>
          <w:bCs/>
          <w:sz w:val="22"/>
          <w:szCs w:val="22"/>
        </w:rPr>
        <w:t>jednorázové zvýšené náklady budou kryty přesuny z</w:t>
      </w:r>
      <w:r>
        <w:rPr>
          <w:rFonts w:ascii="Arial" w:hAnsi="Arial" w:cs="Arial"/>
          <w:bCs/>
          <w:sz w:val="22"/>
          <w:szCs w:val="22"/>
        </w:rPr>
        <w:t> 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dotčených kapitol a případně účelovým posílením kapitoly nového </w:t>
      </w:r>
      <w:bookmarkStart w:id="2" w:name="_Hlk214984847"/>
      <w:r w:rsidR="0030182A" w:rsidRPr="0030182A">
        <w:rPr>
          <w:rFonts w:ascii="Arial" w:hAnsi="Arial" w:cs="Arial"/>
          <w:bCs/>
          <w:sz w:val="22"/>
          <w:szCs w:val="22"/>
        </w:rPr>
        <w:t xml:space="preserve">Úřadu pro prevenci korupce a střetu zájmů </w:t>
      </w:r>
      <w:bookmarkEnd w:id="2"/>
      <w:r w:rsidR="0030182A" w:rsidRPr="0030182A">
        <w:rPr>
          <w:rFonts w:ascii="Arial" w:hAnsi="Arial" w:cs="Arial"/>
          <w:bCs/>
          <w:sz w:val="22"/>
          <w:szCs w:val="22"/>
        </w:rPr>
        <w:t xml:space="preserve">bez jasného finančního vyčíslení, je nedostatečné. Materiál </w:t>
      </w:r>
      <w:r>
        <w:rPr>
          <w:rFonts w:ascii="Arial" w:hAnsi="Arial" w:cs="Arial"/>
          <w:bCs/>
          <w:sz w:val="22"/>
          <w:szCs w:val="22"/>
        </w:rPr>
        <w:t xml:space="preserve">zároveň 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vůbec nereflektuje </w:t>
      </w:r>
      <w:r>
        <w:rPr>
          <w:rFonts w:ascii="Arial" w:hAnsi="Arial" w:cs="Arial"/>
          <w:bCs/>
          <w:sz w:val="22"/>
          <w:szCs w:val="22"/>
        </w:rPr>
        <w:t xml:space="preserve">problematiku </w:t>
      </w:r>
      <w:r w:rsidR="0030182A" w:rsidRPr="0030182A">
        <w:rPr>
          <w:rFonts w:ascii="Arial" w:hAnsi="Arial" w:cs="Arial"/>
          <w:bCs/>
          <w:sz w:val="22"/>
          <w:szCs w:val="22"/>
        </w:rPr>
        <w:t>přesun</w:t>
      </w:r>
      <w:r>
        <w:rPr>
          <w:rFonts w:ascii="Arial" w:hAnsi="Arial" w:cs="Arial"/>
          <w:bCs/>
          <w:sz w:val="22"/>
          <w:szCs w:val="22"/>
        </w:rPr>
        <w:t>u</w:t>
      </w:r>
      <w:r w:rsidR="0030182A" w:rsidRPr="0030182A">
        <w:rPr>
          <w:rFonts w:ascii="Arial" w:hAnsi="Arial" w:cs="Arial"/>
          <w:bCs/>
          <w:sz w:val="22"/>
          <w:szCs w:val="22"/>
        </w:rPr>
        <w:t xml:space="preserve"> zaměstnanců, včetně provozních nákladů – nákladů souvisejících s přesunem apod.</w:t>
      </w:r>
    </w:p>
    <w:p w14:paraId="550FBEC2" w14:textId="6288C855" w:rsidR="0030182A" w:rsidRPr="0030182A" w:rsidRDefault="0030182A" w:rsidP="00AA2227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Vláda nesouhlasí s navrhovaným zněním ustanovení § 3 odst. 4 a 5 </w:t>
      </w:r>
      <w:bookmarkStart w:id="3" w:name="_Hlk215041402"/>
      <w:r w:rsidR="00B63477">
        <w:rPr>
          <w:rFonts w:ascii="Arial" w:hAnsi="Arial" w:cs="Arial"/>
          <w:bCs/>
          <w:sz w:val="22"/>
          <w:szCs w:val="22"/>
        </w:rPr>
        <w:t xml:space="preserve">návrhu zákona </w:t>
      </w:r>
      <w:bookmarkEnd w:id="3"/>
      <w:r w:rsidRPr="0030182A">
        <w:rPr>
          <w:rFonts w:ascii="Arial" w:hAnsi="Arial" w:cs="Arial"/>
          <w:bCs/>
          <w:sz w:val="22"/>
          <w:szCs w:val="22"/>
        </w:rPr>
        <w:t>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způsobem upravujícím plat předsedy a členů Úřadu pro prevenci korupce a střetu zájmů, neboť převzetí existující nevyhovující úpravy z § 19a odst. 4 a 5 zákona č.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424/1991 Sb., o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sdružování v politických stranách a v politických hnutích, představuje nepřímou novelizaci zákona č. 236/1995 Sb., o platu a dalších náležitostech spojených s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výkonem funkce představitelů státní moci a některých státních orgánů a soudců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poslanců Evropského parlamentu, a přispívá ke zhoršené transparentnosti odměňování představitelů veřejné moci, což je obzvláště paradoxní v souvislosti s návrhem zákona, který má mít za cíl mj. předcházet střetu zájmů. Zákon o sdružování v politických stranách a v politických hnutích časově předcházel přijetí zákona č. 236/1995 Sb.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nesprávný způsob doplnění § 19a mohl být důsledkem organizační nedůslednosti v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legislativním procesu. S takovou benevolencí ovšem nelze přistupovat k situaci, kdy má být přijata </w:t>
      </w:r>
      <w:r w:rsidR="004352E6">
        <w:rPr>
          <w:rFonts w:ascii="Arial" w:hAnsi="Arial" w:cs="Arial"/>
          <w:bCs/>
          <w:sz w:val="22"/>
          <w:szCs w:val="22"/>
        </w:rPr>
        <w:t xml:space="preserve">zcela </w:t>
      </w:r>
      <w:r w:rsidRPr="0030182A">
        <w:rPr>
          <w:rFonts w:ascii="Arial" w:hAnsi="Arial" w:cs="Arial"/>
          <w:bCs/>
          <w:sz w:val="22"/>
          <w:szCs w:val="22"/>
        </w:rPr>
        <w:t xml:space="preserve">nová </w:t>
      </w:r>
      <w:r w:rsidR="004352E6" w:rsidRPr="0030182A">
        <w:rPr>
          <w:rFonts w:ascii="Arial" w:hAnsi="Arial" w:cs="Arial"/>
          <w:bCs/>
          <w:sz w:val="22"/>
          <w:szCs w:val="22"/>
        </w:rPr>
        <w:t xml:space="preserve">ucelená </w:t>
      </w:r>
      <w:r w:rsidRPr="0030182A">
        <w:rPr>
          <w:rFonts w:ascii="Arial" w:hAnsi="Arial" w:cs="Arial"/>
          <w:bCs/>
          <w:sz w:val="22"/>
          <w:szCs w:val="22"/>
        </w:rPr>
        <w:t>právní úprava, jež by dotčené právní vztahy měla regulovat i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formálně</w:t>
      </w:r>
      <w:r w:rsidR="004352E6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legislativně správným a ústavně konformním způsobem. Je tedy nutné, aby úprava poskytování platu za výkon funkce předsedy a člena byla zahrnuta přímo v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zákoně č. 236/1995 Sb. Zvláštní část odůvodnění k § 3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 xml:space="preserve">zároveň postrádá jakékoliv konkrétní zdůvodnění pro navrhovanou výši platu předsedy a členů Úřadu pro prevenci korupce a střetu zájmů, </w:t>
      </w:r>
      <w:r w:rsidR="004352E6">
        <w:rPr>
          <w:rFonts w:ascii="Arial" w:hAnsi="Arial" w:cs="Arial"/>
          <w:bCs/>
          <w:sz w:val="22"/>
          <w:szCs w:val="22"/>
        </w:rPr>
        <w:t>tedy</w:t>
      </w:r>
      <w:r w:rsidRPr="0030182A">
        <w:rPr>
          <w:rFonts w:ascii="Arial" w:hAnsi="Arial" w:cs="Arial"/>
          <w:bCs/>
          <w:sz w:val="22"/>
          <w:szCs w:val="22"/>
        </w:rPr>
        <w:t xml:space="preserve"> porovnání náročnosti vykonávané funkce s ostatními představiteli, popřípadě soudci a státními zástupci. Pouhé převzetí existujícího nastavení </w:t>
      </w:r>
      <w:r w:rsidRPr="0030182A">
        <w:rPr>
          <w:rFonts w:ascii="Arial" w:hAnsi="Arial" w:cs="Arial"/>
          <w:bCs/>
          <w:sz w:val="22"/>
          <w:szCs w:val="22"/>
        </w:rPr>
        <w:lastRenderedPageBreak/>
        <w:t>výše platu (resp. koeficientu pro jeho výpočet) by muselo znamenat, že nedochází k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vůbec žádné změně v obsahu a náročnosti výkonu funkce předsedy a člena úřadů.</w:t>
      </w:r>
    </w:p>
    <w:p w14:paraId="5815F46A" w14:textId="410C1252" w:rsidR="0030182A" w:rsidRPr="0030182A" w:rsidRDefault="0030182A" w:rsidP="00AA2227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>K pravomoci Kolegia stanovit výši odměny člena rozkladové komise a členů neurčitě označených „dalších poradních orgánů“ vláda podotýká, že takto formulovaná pravomoc představuje významné riziko nehospodárného nakládání s prostředky státního rozpočtu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zároveň i riziko, že výše a struktura odměny nebude nastavena spravedlivě. Totožná úprava sice vyplývá i z platné právní úpravy, tj. z § 19f odst. 6 písm. g) zákona o</w:t>
      </w:r>
      <w:r w:rsidR="004352E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sdružování v politických stranách a v politických hnutích, nicméně s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novou právní úpravou a vznikem nového Úřadu pro prevenci korupce a střetu zájmů s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rozšířenou působností</w:t>
      </w:r>
      <w:r w:rsidR="004352E6">
        <w:rPr>
          <w:rFonts w:ascii="Arial" w:hAnsi="Arial" w:cs="Arial"/>
          <w:bCs/>
          <w:sz w:val="22"/>
          <w:szCs w:val="22"/>
        </w:rPr>
        <w:t>,</w:t>
      </w:r>
      <w:r w:rsidRPr="0030182A">
        <w:rPr>
          <w:rFonts w:ascii="Arial" w:hAnsi="Arial" w:cs="Arial"/>
          <w:bCs/>
          <w:sz w:val="22"/>
          <w:szCs w:val="22"/>
        </w:rPr>
        <w:t xml:space="preserve"> a zejména vzhledem k proklamovanému cíli a účelu navrhované právní úpravy</w:t>
      </w:r>
      <w:r w:rsidR="004352E6">
        <w:rPr>
          <w:rFonts w:ascii="Arial" w:hAnsi="Arial" w:cs="Arial"/>
          <w:bCs/>
          <w:sz w:val="22"/>
          <w:szCs w:val="22"/>
        </w:rPr>
        <w:t>,</w:t>
      </w:r>
      <w:r w:rsidRPr="0030182A">
        <w:rPr>
          <w:rFonts w:ascii="Arial" w:hAnsi="Arial" w:cs="Arial"/>
          <w:bCs/>
          <w:sz w:val="22"/>
          <w:szCs w:val="22"/>
        </w:rPr>
        <w:t xml:space="preserve"> je třeba toto ustanovení přehodnotit.</w:t>
      </w:r>
      <w:r w:rsidR="002E2A52" w:rsidRPr="002E2A52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Je proto nezbytné, aby byly podmínky pro</w:t>
      </w:r>
      <w:r w:rsidR="004352E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stanovení výše a struktury odměn v zákoně uvedeny určitě, ideálně i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se stanovením relace (např. i v rozpětí) ve vztahu k nějaké konkrétně stanovené veličině.</w:t>
      </w:r>
    </w:p>
    <w:p w14:paraId="5D4E5B7A" w14:textId="22CE93C0" w:rsidR="0030182A" w:rsidRPr="0030182A" w:rsidRDefault="0030182A" w:rsidP="000B7529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>Vláda se neztotožňuje s tvrzením obsaženým v důvodové zprávě k návrhu zákona, podle kterého „</w:t>
      </w:r>
      <w:r w:rsidR="00FA678A">
        <w:rPr>
          <w:rFonts w:ascii="Arial" w:hAnsi="Arial" w:cs="Arial"/>
          <w:bCs/>
          <w:sz w:val="22"/>
          <w:szCs w:val="22"/>
        </w:rPr>
        <w:t>[n]</w:t>
      </w:r>
      <w:proofErr w:type="spellStart"/>
      <w:r w:rsidRPr="0030182A">
        <w:rPr>
          <w:rFonts w:ascii="Arial" w:hAnsi="Arial" w:cs="Arial"/>
          <w:bCs/>
          <w:sz w:val="22"/>
          <w:szCs w:val="22"/>
        </w:rPr>
        <w:t>avržená</w:t>
      </w:r>
      <w:proofErr w:type="spellEnd"/>
      <w:r w:rsidRPr="0030182A">
        <w:rPr>
          <w:rFonts w:ascii="Arial" w:hAnsi="Arial" w:cs="Arial"/>
          <w:bCs/>
          <w:sz w:val="22"/>
          <w:szCs w:val="22"/>
        </w:rPr>
        <w:t xml:space="preserve"> účinnost od 1. ledna 2027 poskytuje dostatečný čas k vybudování Úřadu pro prevenci korupce a střetu zájmů, nastavení jeho vnitřních předpisů a IT systémů, metodik a vzdělávání regulovaných subjektů“ a uvedené datum „zajišťuje realistický časový prostor pro implementaci u všech dotčených aktérů“. Už jen samotný legislativní proces trvá obvykle mnoho měsíců, někdy také několik let, tím spíš</w:t>
      </w:r>
      <w:r w:rsidR="004352E6">
        <w:rPr>
          <w:rFonts w:ascii="Arial" w:hAnsi="Arial" w:cs="Arial"/>
          <w:bCs/>
          <w:sz w:val="22"/>
          <w:szCs w:val="22"/>
        </w:rPr>
        <w:t>e</w:t>
      </w:r>
      <w:r w:rsidRPr="0030182A">
        <w:rPr>
          <w:rFonts w:ascii="Arial" w:hAnsi="Arial" w:cs="Arial"/>
          <w:bCs/>
          <w:sz w:val="22"/>
          <w:szCs w:val="22"/>
        </w:rPr>
        <w:t>, pokud jde o politicky citlivé téma. Rozvoj informačních systémů (</w:t>
      </w:r>
      <w:r w:rsidR="00A13C55">
        <w:rPr>
          <w:rFonts w:ascii="Arial" w:hAnsi="Arial" w:cs="Arial"/>
          <w:bCs/>
          <w:sz w:val="22"/>
          <w:szCs w:val="22"/>
        </w:rPr>
        <w:t xml:space="preserve">jako </w:t>
      </w:r>
      <w:r w:rsidRPr="0030182A">
        <w:rPr>
          <w:rFonts w:ascii="Arial" w:hAnsi="Arial" w:cs="Arial"/>
          <w:bCs/>
          <w:sz w:val="22"/>
          <w:szCs w:val="22"/>
        </w:rPr>
        <w:t>např. úprava formulářů v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Centrálním registru oznámení pro uvádění nových skutečností do oznámení) reagující na novou právní úpravu je nezřídka také časově velmi náročný. To platí tím spíše tehdy, pokud má dojít ke sloučení a rozšíření několika systémů stávajících, což nemusí jejich dosavadní technická infrastruktura vždy umožnit. Informační systémy veřejné správy mají v dotčeném případě navíc různé dodavatele a není vyloučeno, že by zamýšlené úpravy nebylo možné realizovat na základě stávajících smluvních vztahů a bylo by naopak nutné vysoutěžit dodavatele nové. Předkladatelem navržené datum nabytí účinnosti se proto </w:t>
      </w:r>
      <w:r w:rsidR="00A13C55">
        <w:rPr>
          <w:rFonts w:ascii="Arial" w:hAnsi="Arial" w:cs="Arial"/>
          <w:bCs/>
          <w:sz w:val="22"/>
          <w:szCs w:val="22"/>
        </w:rPr>
        <w:t xml:space="preserve">vládě </w:t>
      </w:r>
      <w:r w:rsidRPr="0030182A">
        <w:rPr>
          <w:rFonts w:ascii="Arial" w:hAnsi="Arial" w:cs="Arial"/>
          <w:bCs/>
          <w:sz w:val="22"/>
          <w:szCs w:val="22"/>
        </w:rPr>
        <w:t>jeví jako nerealistické z hlediska potřeby zajištění bezproblémového přechodu a</w:t>
      </w:r>
      <w:r w:rsidR="00FA678A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předání agendy novému Úřadu pro prevenci korupce a střetu zájmů.</w:t>
      </w:r>
    </w:p>
    <w:bookmarkEnd w:id="1"/>
    <w:p w14:paraId="2218306A" w14:textId="5DE28841" w:rsidR="0030182A" w:rsidRPr="0030182A" w:rsidRDefault="0030182A" w:rsidP="00FA678A">
      <w:pPr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Významným nedostatkem, který by mohl značně ztížit implementaci předloženého návrhu zákona, je neúplnost </w:t>
      </w:r>
      <w:r w:rsidR="00A13C55">
        <w:rPr>
          <w:rFonts w:ascii="Arial" w:hAnsi="Arial" w:cs="Arial"/>
          <w:bCs/>
          <w:sz w:val="22"/>
          <w:szCs w:val="22"/>
        </w:rPr>
        <w:t xml:space="preserve">navržených </w:t>
      </w:r>
      <w:r w:rsidRPr="0030182A">
        <w:rPr>
          <w:rFonts w:ascii="Arial" w:hAnsi="Arial" w:cs="Arial"/>
          <w:bCs/>
          <w:sz w:val="22"/>
          <w:szCs w:val="22"/>
        </w:rPr>
        <w:t>přechodných ustanovení</w:t>
      </w:r>
      <w:r w:rsidR="00A13C55">
        <w:rPr>
          <w:rFonts w:ascii="Arial" w:hAnsi="Arial" w:cs="Arial"/>
          <w:bCs/>
          <w:sz w:val="22"/>
          <w:szCs w:val="22"/>
        </w:rPr>
        <w:t>, jež</w:t>
      </w:r>
      <w:r w:rsidRPr="0030182A">
        <w:rPr>
          <w:rFonts w:ascii="Arial" w:hAnsi="Arial" w:cs="Arial"/>
          <w:bCs/>
          <w:sz w:val="22"/>
          <w:szCs w:val="22"/>
        </w:rPr>
        <w:t xml:space="preserve"> nijak neupravují přechod agendy a práv a povinností z Ministerstva spravedlnosti na Úřad pro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prevenci korupce a střetu zájmů. Stejně tak není upravena první systemizace nového služebního úřadu a pravidla pro její předložení. Bez </w:t>
      </w:r>
      <w:r w:rsidR="00A13C55">
        <w:rPr>
          <w:rFonts w:ascii="Arial" w:hAnsi="Arial" w:cs="Arial"/>
          <w:bCs/>
          <w:sz w:val="22"/>
          <w:szCs w:val="22"/>
        </w:rPr>
        <w:t>ní však</w:t>
      </w:r>
      <w:r w:rsidRPr="0030182A">
        <w:rPr>
          <w:rFonts w:ascii="Arial" w:hAnsi="Arial" w:cs="Arial"/>
          <w:bCs/>
          <w:sz w:val="22"/>
          <w:szCs w:val="22"/>
        </w:rPr>
        <w:t xml:space="preserve"> služební úřad vznikne pouze teoreticky, ale fakticky nebude disponovat potřebnými systemizovanými místy.</w:t>
      </w:r>
    </w:p>
    <w:p w14:paraId="150604DD" w14:textId="6CCA2FAB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lastRenderedPageBreak/>
        <w:t>Návrh ani jeho důvodová zpráva nijak neřeší dopady navrhované transformace na funkce dosavadního předsedy a členů Úřadu pro dohled nad hospodařením politických stran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politických hnutí. V § 11 odst. 1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>se pouze stanoví, že do doby jmenování předsedy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členů Úřadu pro prevenci korupce a střetu zájmů má plnit úkoly jeho Kolegia Kolegium ústředního správního úřadu pro dohled nad hospodařením stran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hnutí podle zákona o sdružování v politických stranách a v politických hnutích, ve znění účinném přede dnem nabytí účinnosti tohoto zákona. Kolegium Úřadu pro dohled nad</w:t>
      </w:r>
      <w:r w:rsidR="00A13C55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hospodařením politických stran a politických hnutí ovšem představuje vnitřní orgán tohoto úřadu, který již ode dne nabytí účinnosti navrženého zákona nebude existovat (resp. bude přeměněn v jiný úřad, tedy Úřad pro prevenci korupce a střetu zájmů), </w:t>
      </w:r>
      <w:r w:rsidR="008256EA">
        <w:rPr>
          <w:rFonts w:ascii="Arial" w:hAnsi="Arial" w:cs="Arial"/>
          <w:bCs/>
          <w:sz w:val="22"/>
          <w:szCs w:val="22"/>
        </w:rPr>
        <w:t>a</w:t>
      </w:r>
      <w:r w:rsidR="00FA678A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nelze tudíž stanovit, že bude plnit úkoly kolegia nového Úřadu pro prevenci korupce a</w:t>
      </w:r>
      <w:r w:rsidR="00FA678A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střetu zájmů, aniž by byla jednoznačně stanovena funkce, resp. vztah členů tohoto zaniklého orgánu k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úřadu nově vzniklému.</w:t>
      </w:r>
    </w:p>
    <w:p w14:paraId="22F54829" w14:textId="4E52F5D3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V § 11 odst. 4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>je stanoveno, že „</w:t>
      </w:r>
      <w:r w:rsidR="00FA678A">
        <w:rPr>
          <w:rFonts w:ascii="Arial" w:hAnsi="Arial" w:cs="Arial"/>
          <w:bCs/>
          <w:sz w:val="22"/>
          <w:szCs w:val="22"/>
        </w:rPr>
        <w:t>[d]</w:t>
      </w:r>
      <w:proofErr w:type="spellStart"/>
      <w:r w:rsidRPr="0030182A">
        <w:rPr>
          <w:rFonts w:ascii="Arial" w:hAnsi="Arial" w:cs="Arial"/>
          <w:bCs/>
          <w:sz w:val="22"/>
          <w:szCs w:val="22"/>
        </w:rPr>
        <w:t>nem</w:t>
      </w:r>
      <w:proofErr w:type="spellEnd"/>
      <w:r w:rsidRPr="0030182A">
        <w:rPr>
          <w:rFonts w:ascii="Arial" w:hAnsi="Arial" w:cs="Arial"/>
          <w:bCs/>
          <w:sz w:val="22"/>
          <w:szCs w:val="22"/>
        </w:rPr>
        <w:t xml:space="preserve"> nabytí účinnosti tohoto zákona se</w:t>
      </w:r>
      <w:r w:rsidR="003D27F3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Úřad pro dohled nad hospodařením politických stran a politických hnutí zřízený podle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zákona č. 424/1991 Sb. mění na Úřad pro prevenci korupce a střetu zájmů podle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tohoto zákona“, což si ale odporuje s navrhovaným § 2 odst. 1, podle kterého se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„…zřizuje Úřad“, a je třeba posoudit, které z vyjádření je v souladu se záměrem předkladatelů.</w:t>
      </w:r>
    </w:p>
    <w:p w14:paraId="36DE1760" w14:textId="1B48FD66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Vláda dále konstatuje, že z návrhu zákona není jednoznačně zřetelné, </w:t>
      </w:r>
      <w:r w:rsidR="00FA2C98">
        <w:rPr>
          <w:rFonts w:ascii="Arial" w:hAnsi="Arial" w:cs="Arial"/>
          <w:bCs/>
          <w:sz w:val="22"/>
          <w:szCs w:val="22"/>
        </w:rPr>
        <w:t>zda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2E2A52">
        <w:rPr>
          <w:rFonts w:ascii="Arial" w:hAnsi="Arial" w:cs="Arial"/>
          <w:bCs/>
          <w:sz w:val="22"/>
          <w:szCs w:val="22"/>
        </w:rPr>
        <w:t xml:space="preserve">a kdy </w:t>
      </w:r>
      <w:r w:rsidRPr="0030182A">
        <w:rPr>
          <w:rFonts w:ascii="Arial" w:hAnsi="Arial" w:cs="Arial"/>
          <w:bCs/>
          <w:sz w:val="22"/>
          <w:szCs w:val="22"/>
        </w:rPr>
        <w:t>dochází ke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změně příslušnosti hospodařit s majetkem státu z </w:t>
      </w:r>
      <w:bookmarkStart w:id="4" w:name="_Hlk214875922"/>
      <w:r w:rsidRPr="0030182A">
        <w:rPr>
          <w:rFonts w:ascii="Arial" w:hAnsi="Arial" w:cs="Arial"/>
          <w:bCs/>
          <w:sz w:val="22"/>
          <w:szCs w:val="22"/>
        </w:rPr>
        <w:t xml:space="preserve">dosavadního </w:t>
      </w:r>
      <w:bookmarkEnd w:id="4"/>
      <w:r w:rsidR="00B63477" w:rsidRPr="00B63477">
        <w:rPr>
          <w:rFonts w:ascii="Arial" w:hAnsi="Arial" w:cs="Arial"/>
          <w:bCs/>
          <w:sz w:val="22"/>
          <w:szCs w:val="22"/>
        </w:rPr>
        <w:t>Úřad</w:t>
      </w:r>
      <w:r w:rsidR="00B63477">
        <w:rPr>
          <w:rFonts w:ascii="Arial" w:hAnsi="Arial" w:cs="Arial"/>
          <w:bCs/>
          <w:sz w:val="22"/>
          <w:szCs w:val="22"/>
        </w:rPr>
        <w:t>u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 pro dohled nad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hospodařením politických stran a politických hnutí </w:t>
      </w:r>
      <w:r w:rsidRPr="0030182A">
        <w:rPr>
          <w:rFonts w:ascii="Arial" w:hAnsi="Arial" w:cs="Arial"/>
          <w:bCs/>
          <w:sz w:val="22"/>
          <w:szCs w:val="22"/>
        </w:rPr>
        <w:t>na nově vzniklý Úřad pro prevenci korupce a střetu zájmů, a znění § 11 odst. 5 návrhu zákona by tak bylo nezbytné upravit tak, aby bylo zřejmé, že dnem nabytí účinnosti tohoto zákona přecházejí na nový Úřad pro prevenci korupce a střetu zájmů veškerá práva a povinnosti, včetně práv a povinností z pracovněprávních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služebních vztahů a z jiných právních vztahů, jejichž nositelem byl dosavadní </w:t>
      </w:r>
      <w:r w:rsidR="00B63477" w:rsidRPr="00B63477">
        <w:rPr>
          <w:rFonts w:ascii="Arial" w:hAnsi="Arial" w:cs="Arial"/>
          <w:bCs/>
          <w:sz w:val="22"/>
          <w:szCs w:val="22"/>
        </w:rPr>
        <w:t>Úřad pro dohled nad hospodařením politických stran a politických hnutí</w:t>
      </w:r>
      <w:r w:rsidRPr="0030182A">
        <w:rPr>
          <w:rFonts w:ascii="Arial" w:hAnsi="Arial" w:cs="Arial"/>
          <w:bCs/>
          <w:sz w:val="22"/>
          <w:szCs w:val="22"/>
        </w:rPr>
        <w:t xml:space="preserve">. Dále </w:t>
      </w:r>
      <w:r w:rsidR="00783D53">
        <w:rPr>
          <w:rFonts w:ascii="Arial" w:hAnsi="Arial" w:cs="Arial"/>
          <w:bCs/>
          <w:sz w:val="22"/>
          <w:szCs w:val="22"/>
        </w:rPr>
        <w:t>by bylo</w:t>
      </w:r>
      <w:r w:rsidRPr="0030182A">
        <w:rPr>
          <w:rFonts w:ascii="Arial" w:hAnsi="Arial" w:cs="Arial"/>
          <w:bCs/>
          <w:sz w:val="22"/>
          <w:szCs w:val="22"/>
        </w:rPr>
        <w:t xml:space="preserve"> nutné upravit, že tímto dnem se nový Úřad pro prevenci korupce a střetu zájmů stává příslušným hospodařit s majetkem státu, se kterým byl do dne nabytí účinnosti tohoto zákona příslušný hospodařit dosavadní </w:t>
      </w:r>
      <w:r w:rsidR="00B63477" w:rsidRPr="00B63477">
        <w:rPr>
          <w:rFonts w:ascii="Arial" w:hAnsi="Arial" w:cs="Arial"/>
          <w:bCs/>
          <w:sz w:val="22"/>
          <w:szCs w:val="22"/>
        </w:rPr>
        <w:t>Úřad pro dohled nad hospodařením politických stran a politických hnutí</w:t>
      </w:r>
      <w:r w:rsidRPr="0030182A">
        <w:rPr>
          <w:rFonts w:ascii="Arial" w:hAnsi="Arial" w:cs="Arial"/>
          <w:bCs/>
          <w:sz w:val="22"/>
          <w:szCs w:val="22"/>
        </w:rPr>
        <w:t>.</w:t>
      </w:r>
    </w:p>
    <w:p w14:paraId="0133867C" w14:textId="6C109EA0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>Pokud by měl mít nový Úřad pro prevenci korupce a střetu zájmů sídlo v Praze,</w:t>
      </w:r>
      <w:r w:rsidR="00097AB4">
        <w:rPr>
          <w:rFonts w:ascii="Arial" w:hAnsi="Arial" w:cs="Arial"/>
          <w:bCs/>
          <w:sz w:val="22"/>
          <w:szCs w:val="22"/>
        </w:rPr>
        <w:t xml:space="preserve"> jak předkladatelé navrhují,</w:t>
      </w:r>
      <w:r w:rsidRPr="0030182A">
        <w:rPr>
          <w:rFonts w:ascii="Arial" w:hAnsi="Arial" w:cs="Arial"/>
          <w:bCs/>
          <w:sz w:val="22"/>
          <w:szCs w:val="22"/>
        </w:rPr>
        <w:t xml:space="preserve"> bude komplikované zajistit přechod veškerých práv a povinností tak, jak je navrhováno v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přechodných ustanoveních v § 11 odst. 5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 návrhu zákona</w:t>
      </w:r>
      <w:r w:rsidRPr="0030182A">
        <w:rPr>
          <w:rFonts w:ascii="Arial" w:hAnsi="Arial" w:cs="Arial"/>
          <w:bCs/>
          <w:sz w:val="22"/>
          <w:szCs w:val="22"/>
        </w:rPr>
        <w:t>. Je možné, aby Úřad pro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prevenci korupce 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střetu zájmů</w:t>
      </w:r>
      <w:r w:rsidR="002E2A52" w:rsidRPr="0030182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měl sídlo v Praze, kde budou za</w:t>
      </w:r>
      <w:r w:rsidR="00097AB4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účelem výkonu nových činností zřízena nová </w:t>
      </w:r>
      <w:r w:rsidR="00B63477">
        <w:rPr>
          <w:rFonts w:ascii="Arial" w:hAnsi="Arial" w:cs="Arial"/>
          <w:bCs/>
          <w:sz w:val="22"/>
          <w:szCs w:val="22"/>
        </w:rPr>
        <w:t xml:space="preserve">systemizovaná </w:t>
      </w:r>
      <w:r w:rsidRPr="0030182A">
        <w:rPr>
          <w:rFonts w:ascii="Arial" w:hAnsi="Arial" w:cs="Arial"/>
          <w:bCs/>
          <w:sz w:val="22"/>
          <w:szCs w:val="22"/>
        </w:rPr>
        <w:t xml:space="preserve">místa, a dosavadní sídlo </w:t>
      </w:r>
      <w:r w:rsidRPr="0030182A">
        <w:rPr>
          <w:rFonts w:ascii="Arial" w:hAnsi="Arial" w:cs="Arial"/>
          <w:bCs/>
          <w:sz w:val="22"/>
          <w:szCs w:val="22"/>
        </w:rPr>
        <w:lastRenderedPageBreak/>
        <w:t xml:space="preserve">v Brně </w:t>
      </w:r>
      <w:r w:rsidR="00097AB4">
        <w:rPr>
          <w:rFonts w:ascii="Arial" w:hAnsi="Arial" w:cs="Arial"/>
          <w:bCs/>
          <w:sz w:val="22"/>
          <w:szCs w:val="22"/>
        </w:rPr>
        <w:t xml:space="preserve">by </w:t>
      </w:r>
      <w:r w:rsidRPr="0030182A">
        <w:rPr>
          <w:rFonts w:ascii="Arial" w:hAnsi="Arial" w:cs="Arial"/>
          <w:bCs/>
          <w:sz w:val="22"/>
          <w:szCs w:val="22"/>
        </w:rPr>
        <w:t>se stalo jeho pobočkou se stávajícími systemizovanými místy</w:t>
      </w:r>
      <w:r w:rsidR="00097AB4">
        <w:rPr>
          <w:rFonts w:ascii="Arial" w:hAnsi="Arial" w:cs="Arial"/>
          <w:bCs/>
          <w:sz w:val="22"/>
          <w:szCs w:val="22"/>
        </w:rPr>
        <w:t xml:space="preserve">, přičemž </w:t>
      </w:r>
      <w:r w:rsidR="005F7A6E">
        <w:rPr>
          <w:rFonts w:ascii="Arial" w:hAnsi="Arial" w:cs="Arial"/>
          <w:bCs/>
          <w:sz w:val="22"/>
          <w:szCs w:val="22"/>
        </w:rPr>
        <w:t>ale</w:t>
      </w:r>
      <w:r w:rsidR="00097AB4">
        <w:rPr>
          <w:rFonts w:ascii="Arial" w:hAnsi="Arial" w:cs="Arial"/>
          <w:bCs/>
          <w:sz w:val="22"/>
          <w:szCs w:val="22"/>
        </w:rPr>
        <w:t xml:space="preserve"> t</w:t>
      </w:r>
      <w:r w:rsidR="005F7A6E">
        <w:rPr>
          <w:rFonts w:ascii="Arial" w:hAnsi="Arial" w:cs="Arial"/>
          <w:bCs/>
          <w:sz w:val="22"/>
          <w:szCs w:val="22"/>
        </w:rPr>
        <w:t>akové řešení předkladatelé nezmiňují</w:t>
      </w:r>
      <w:r w:rsidRPr="0030182A">
        <w:rPr>
          <w:rFonts w:ascii="Arial" w:hAnsi="Arial" w:cs="Arial"/>
          <w:bCs/>
          <w:sz w:val="22"/>
          <w:szCs w:val="22"/>
        </w:rPr>
        <w:t>. Avšak pokud by nebyla zvolena tato cesta, bylo by třeba z pohledu systemizace přesunout systemizovaná místa z Brna do Prahy a dá se</w:t>
      </w:r>
      <w:r w:rsidR="005F7A6E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předpokládat, že jen minimální počet stávajících </w:t>
      </w:r>
      <w:r w:rsidR="00AA5F86">
        <w:rPr>
          <w:rFonts w:ascii="Arial" w:hAnsi="Arial" w:cs="Arial"/>
          <w:bCs/>
          <w:sz w:val="22"/>
          <w:szCs w:val="22"/>
        </w:rPr>
        <w:t xml:space="preserve">státních </w:t>
      </w:r>
      <w:r w:rsidRPr="0030182A">
        <w:rPr>
          <w:rFonts w:ascii="Arial" w:hAnsi="Arial" w:cs="Arial"/>
          <w:bCs/>
          <w:sz w:val="22"/>
          <w:szCs w:val="22"/>
        </w:rPr>
        <w:t>zaměstnanců udělí souhlas k</w:t>
      </w:r>
      <w:r w:rsidR="005F7A6E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této změně a bude vykonávat </w:t>
      </w:r>
      <w:r w:rsidR="00AA5F86">
        <w:rPr>
          <w:rFonts w:ascii="Arial" w:hAnsi="Arial" w:cs="Arial"/>
          <w:bCs/>
          <w:sz w:val="22"/>
          <w:szCs w:val="22"/>
        </w:rPr>
        <w:t xml:space="preserve">státní </w:t>
      </w:r>
      <w:r w:rsidRPr="0030182A">
        <w:rPr>
          <w:rFonts w:ascii="Arial" w:hAnsi="Arial" w:cs="Arial"/>
          <w:bCs/>
          <w:sz w:val="22"/>
          <w:szCs w:val="22"/>
        </w:rPr>
        <w:t xml:space="preserve">službu v Praze. Za této situace by bylo nutné podle pravidel systemizace systemizovaná místa v Brně zrušit a současně v Praze </w:t>
      </w:r>
      <w:r w:rsidR="00097AB4">
        <w:rPr>
          <w:rFonts w:ascii="Arial" w:hAnsi="Arial" w:cs="Arial"/>
          <w:bCs/>
          <w:sz w:val="22"/>
          <w:szCs w:val="22"/>
        </w:rPr>
        <w:t xml:space="preserve">tomu odpovídající počet systemizovaných míst nově </w:t>
      </w:r>
      <w:r w:rsidRPr="0030182A">
        <w:rPr>
          <w:rFonts w:ascii="Arial" w:hAnsi="Arial" w:cs="Arial"/>
          <w:bCs/>
          <w:sz w:val="22"/>
          <w:szCs w:val="22"/>
        </w:rPr>
        <w:t xml:space="preserve">zřídit. V návaznosti na to stávajícím </w:t>
      </w:r>
      <w:r w:rsidR="00AA5F86">
        <w:rPr>
          <w:rFonts w:ascii="Arial" w:hAnsi="Arial" w:cs="Arial"/>
          <w:bCs/>
          <w:sz w:val="22"/>
          <w:szCs w:val="22"/>
        </w:rPr>
        <w:t xml:space="preserve">státním </w:t>
      </w:r>
      <w:r w:rsidRPr="0030182A">
        <w:rPr>
          <w:rFonts w:ascii="Arial" w:hAnsi="Arial" w:cs="Arial"/>
          <w:bCs/>
          <w:sz w:val="22"/>
          <w:szCs w:val="22"/>
        </w:rPr>
        <w:t xml:space="preserve">zaměstnancům v Brně skončí služební poměr a v Praze zřízená místa bude třeba obsadit novými státními zaměstnanci na základě výsledku výběrových řízení, což </w:t>
      </w:r>
      <w:r w:rsidR="00097AB4">
        <w:rPr>
          <w:rFonts w:ascii="Arial" w:hAnsi="Arial" w:cs="Arial"/>
          <w:bCs/>
          <w:sz w:val="22"/>
          <w:szCs w:val="22"/>
        </w:rPr>
        <w:t xml:space="preserve">však </w:t>
      </w:r>
      <w:r w:rsidR="005F7A6E">
        <w:rPr>
          <w:rFonts w:ascii="Arial" w:hAnsi="Arial" w:cs="Arial"/>
          <w:bCs/>
          <w:sz w:val="22"/>
          <w:szCs w:val="22"/>
        </w:rPr>
        <w:t xml:space="preserve">ve svém důsledku </w:t>
      </w:r>
      <w:r w:rsidRPr="0030182A">
        <w:rPr>
          <w:rFonts w:ascii="Arial" w:hAnsi="Arial" w:cs="Arial"/>
          <w:bCs/>
          <w:sz w:val="22"/>
          <w:szCs w:val="22"/>
        </w:rPr>
        <w:t>činí n</w:t>
      </w:r>
      <w:r w:rsidR="00097AB4">
        <w:rPr>
          <w:rFonts w:ascii="Arial" w:hAnsi="Arial" w:cs="Arial"/>
          <w:bCs/>
          <w:sz w:val="22"/>
          <w:szCs w:val="22"/>
        </w:rPr>
        <w:t>a</w:t>
      </w:r>
      <w:r w:rsidRPr="0030182A">
        <w:rPr>
          <w:rFonts w:ascii="Arial" w:hAnsi="Arial" w:cs="Arial"/>
          <w:bCs/>
          <w:sz w:val="22"/>
          <w:szCs w:val="22"/>
        </w:rPr>
        <w:t>vrh</w:t>
      </w:r>
      <w:r w:rsidR="00097AB4">
        <w:rPr>
          <w:rFonts w:ascii="Arial" w:hAnsi="Arial" w:cs="Arial"/>
          <w:bCs/>
          <w:sz w:val="22"/>
          <w:szCs w:val="22"/>
        </w:rPr>
        <w:t>ovanou úpravu</w:t>
      </w:r>
      <w:r w:rsidRPr="0030182A">
        <w:rPr>
          <w:rFonts w:ascii="Arial" w:hAnsi="Arial" w:cs="Arial"/>
          <w:bCs/>
          <w:sz w:val="22"/>
          <w:szCs w:val="22"/>
        </w:rPr>
        <w:t xml:space="preserve"> značně problematick</w:t>
      </w:r>
      <w:r w:rsidR="005F7A6E">
        <w:rPr>
          <w:rFonts w:ascii="Arial" w:hAnsi="Arial" w:cs="Arial"/>
          <w:bCs/>
          <w:sz w:val="22"/>
          <w:szCs w:val="22"/>
        </w:rPr>
        <w:t>y realizovatelnou</w:t>
      </w:r>
      <w:r w:rsidRPr="0030182A">
        <w:rPr>
          <w:rFonts w:ascii="Arial" w:hAnsi="Arial" w:cs="Arial"/>
          <w:bCs/>
          <w:sz w:val="22"/>
          <w:szCs w:val="22"/>
        </w:rPr>
        <w:t>.</w:t>
      </w:r>
    </w:p>
    <w:p w14:paraId="30BAF6E6" w14:textId="5A2DF484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Ustanovení § 11 odst. 5 a 6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>v souvislosti s přechodem práv a povinností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trváním stávajících poměrů používají neurčitý výraz „dosavadní úřad“. Není zřejmé, zda se tím má rozumět Úřad pro dohled nad hospodařením politických stran a politických hnutí, Ministerstvo spravedlnosti, nebo oba tyto úřady. Pokud by se dosavadním úřadem mělo rozumět i Ministerstvo spravedlnosti, je </w:t>
      </w:r>
      <w:r w:rsidR="00820E85">
        <w:rPr>
          <w:rFonts w:ascii="Arial" w:hAnsi="Arial" w:cs="Arial"/>
          <w:bCs/>
          <w:sz w:val="22"/>
          <w:szCs w:val="22"/>
        </w:rPr>
        <w:t xml:space="preserve">podle názoru vlády </w:t>
      </w:r>
      <w:r w:rsidRPr="0030182A">
        <w:rPr>
          <w:rFonts w:ascii="Arial" w:hAnsi="Arial" w:cs="Arial"/>
          <w:bCs/>
          <w:sz w:val="22"/>
          <w:szCs w:val="22"/>
        </w:rPr>
        <w:t xml:space="preserve">potřeba specifikovat, jakých služebních a pracovních poměrů se má tento přechod týkat. Zcela jistě </w:t>
      </w:r>
      <w:r w:rsidR="00820E85">
        <w:rPr>
          <w:rFonts w:ascii="Arial" w:hAnsi="Arial" w:cs="Arial"/>
          <w:bCs/>
          <w:sz w:val="22"/>
          <w:szCs w:val="22"/>
        </w:rPr>
        <w:t xml:space="preserve">však </w:t>
      </w:r>
      <w:r w:rsidRPr="0030182A">
        <w:rPr>
          <w:rFonts w:ascii="Arial" w:hAnsi="Arial" w:cs="Arial"/>
          <w:bCs/>
          <w:sz w:val="22"/>
          <w:szCs w:val="22"/>
        </w:rPr>
        <w:t>nepůjde o</w:t>
      </w:r>
      <w:r w:rsidR="00820E85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přechod veškerých práv a povinností, ale pouze těch, které budou vázány na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systemizovaná služební a pracovní místa, na nichž je vykonávána agenda převáděná na nový Úřad pro prevenci korupce a střetu zájmů.</w:t>
      </w:r>
    </w:p>
    <w:p w14:paraId="0F9EA3B6" w14:textId="5FFEC868" w:rsidR="0030182A" w:rsidRPr="0030182A" w:rsidRDefault="0030182A" w:rsidP="00A13C55">
      <w:pPr>
        <w:widowControl w:val="0"/>
        <w:numPr>
          <w:ilvl w:val="0"/>
          <w:numId w:val="1"/>
        </w:numPr>
        <w:spacing w:before="120" w:line="360" w:lineRule="auto"/>
        <w:ind w:left="363" w:hanging="357"/>
        <w:jc w:val="both"/>
        <w:rPr>
          <w:rFonts w:ascii="Arial" w:hAnsi="Arial" w:cs="Arial"/>
          <w:bCs/>
          <w:sz w:val="22"/>
          <w:szCs w:val="22"/>
        </w:rPr>
      </w:pPr>
      <w:r w:rsidRPr="0030182A">
        <w:rPr>
          <w:rFonts w:ascii="Arial" w:hAnsi="Arial" w:cs="Arial"/>
          <w:bCs/>
          <w:sz w:val="22"/>
          <w:szCs w:val="22"/>
        </w:rPr>
        <w:t xml:space="preserve">Návrh zákona by bylo nezbytné dopracovat i z hlediska použité terminologie, která je nejednotná, když například v § 2 odst. 1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>je Úřad pro prevenci korupce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střetu zájmů</w:t>
      </w:r>
      <w:r w:rsidR="002E2A52" w:rsidRPr="0030182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 xml:space="preserve">označen za ústřední správní úřad pro prevenci korupce a střetu zájmů, zatímco v § 2 odst. 2 písm. b) až d) 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návrhu zákona </w:t>
      </w:r>
      <w:r w:rsidRPr="0030182A">
        <w:rPr>
          <w:rFonts w:ascii="Arial" w:hAnsi="Arial" w:cs="Arial"/>
          <w:bCs/>
          <w:sz w:val="22"/>
          <w:szCs w:val="22"/>
        </w:rPr>
        <w:t>je označen za ústřední orgán státní správy pro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oblasti střetu zájmů, ochranu oznamovatelů a lobbování. Tato roztříštěnost pojmů je patrně dána tím, že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příslušná ustanovení byla v podstatě doslovně převzata ze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zákona o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sdružování v politických stranách a v politických hnutích, 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zákona č.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2/1969 Sb., o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zřízení ministerstev a jiných ústředních orgánů státní správy České republiky, aniž by došlo k jejich vzájemnému sjednocení. Převzetím ustanovení zákona o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sdružování v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politických stranách a v politických hnutí jsou v návrhu místy užívány tvary slov „strana a (nebo) hnutí“ bez přídavného jména „politická/politické“, aniž by pro ně byla</w:t>
      </w:r>
      <w:r w:rsidR="00AA5F86">
        <w:rPr>
          <w:rFonts w:ascii="Arial" w:hAnsi="Arial" w:cs="Arial"/>
          <w:bCs/>
          <w:sz w:val="22"/>
          <w:szCs w:val="22"/>
        </w:rPr>
        <w:t xml:space="preserve"> (na rozdíl od uvedeného zákona)</w:t>
      </w:r>
      <w:r w:rsidRPr="0030182A">
        <w:rPr>
          <w:rFonts w:ascii="Arial" w:hAnsi="Arial" w:cs="Arial"/>
          <w:bCs/>
          <w:sz w:val="22"/>
          <w:szCs w:val="22"/>
        </w:rPr>
        <w:t xml:space="preserve"> příslušná legislativní zkratka zavedena. V § 4 odst. 1 písm. b)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 návrhu zákona</w:t>
      </w:r>
      <w:r w:rsidRPr="0030182A">
        <w:rPr>
          <w:rFonts w:ascii="Arial" w:hAnsi="Arial" w:cs="Arial"/>
          <w:bCs/>
          <w:sz w:val="22"/>
          <w:szCs w:val="22"/>
        </w:rPr>
        <w:t>, v němž je upraveno, že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předseda Úřadu pro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prevenci korupce a střetu zájmů</w:t>
      </w:r>
      <w:r w:rsidR="002E2A52" w:rsidRPr="0030182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po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projednání s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Kolegiem schvaluje služební předpisy, by bylo nutné upravit dikci na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„vydává služební předpisy“, neboť podle §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11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odst. 4 zákona o státní službě vedoucí služebního úřadu služební předpisy vydává, n</w:t>
      </w:r>
      <w:r w:rsidRPr="002E2A52">
        <w:rPr>
          <w:rFonts w:ascii="Arial" w:hAnsi="Arial" w:cs="Arial"/>
          <w:bCs/>
          <w:sz w:val="22"/>
          <w:szCs w:val="22"/>
        </w:rPr>
        <w:t>ikoliv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 xml:space="preserve">pouze schvaluje. </w:t>
      </w:r>
      <w:r w:rsidR="00820E85">
        <w:rPr>
          <w:rFonts w:ascii="Arial" w:hAnsi="Arial" w:cs="Arial"/>
          <w:bCs/>
          <w:sz w:val="22"/>
          <w:szCs w:val="22"/>
        </w:rPr>
        <w:t>Dále se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="00820E85">
        <w:rPr>
          <w:rFonts w:ascii="Arial" w:hAnsi="Arial" w:cs="Arial"/>
          <w:bCs/>
          <w:sz w:val="22"/>
          <w:szCs w:val="22"/>
        </w:rPr>
        <w:t>v předloženém návrhu s</w:t>
      </w:r>
      <w:r w:rsidRPr="0030182A">
        <w:rPr>
          <w:rFonts w:ascii="Arial" w:hAnsi="Arial" w:cs="Arial"/>
          <w:bCs/>
          <w:sz w:val="22"/>
          <w:szCs w:val="22"/>
        </w:rPr>
        <w:t>tanoví povinnost mlčenlivosti pro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„zaměstnance Úřadu“ (§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9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lastRenderedPageBreak/>
        <w:t>odst.</w:t>
      </w:r>
      <w:r w:rsidR="00FA678A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2</w:t>
      </w:r>
      <w:r w:rsidR="00B63477" w:rsidRPr="00B63477">
        <w:rPr>
          <w:rFonts w:ascii="Arial" w:hAnsi="Arial" w:cs="Arial"/>
          <w:bCs/>
          <w:sz w:val="22"/>
          <w:szCs w:val="22"/>
        </w:rPr>
        <w:t xml:space="preserve"> návrhu zákona</w:t>
      </w:r>
      <w:r w:rsidRPr="0030182A">
        <w:rPr>
          <w:rFonts w:ascii="Arial" w:hAnsi="Arial" w:cs="Arial"/>
          <w:bCs/>
          <w:sz w:val="22"/>
          <w:szCs w:val="22"/>
        </w:rPr>
        <w:t xml:space="preserve">), což je z legislativního hlediska nesprávné označení, </w:t>
      </w:r>
      <w:r w:rsidR="002F20B8">
        <w:rPr>
          <w:rFonts w:ascii="Arial" w:hAnsi="Arial" w:cs="Arial"/>
          <w:bCs/>
          <w:sz w:val="22"/>
          <w:szCs w:val="22"/>
        </w:rPr>
        <w:t>a totéž</w:t>
      </w:r>
      <w:r w:rsidRPr="0030182A">
        <w:rPr>
          <w:rFonts w:ascii="Arial" w:hAnsi="Arial" w:cs="Arial"/>
          <w:bCs/>
          <w:sz w:val="22"/>
          <w:szCs w:val="22"/>
        </w:rPr>
        <w:t xml:space="preserve"> platí i</w:t>
      </w:r>
      <w:r w:rsidRPr="002E2A52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pro</w:t>
      </w:r>
      <w:r w:rsidR="00FA678A">
        <w:rPr>
          <w:rFonts w:ascii="Arial" w:hAnsi="Arial" w:cs="Arial"/>
          <w:bCs/>
          <w:sz w:val="22"/>
          <w:szCs w:val="22"/>
        </w:rPr>
        <w:t xml:space="preserve"> </w:t>
      </w:r>
      <w:r w:rsidRPr="0030182A">
        <w:rPr>
          <w:rFonts w:ascii="Arial" w:hAnsi="Arial" w:cs="Arial"/>
          <w:bCs/>
          <w:sz w:val="22"/>
          <w:szCs w:val="22"/>
        </w:rPr>
        <w:t>pojem „zaměstnanec státu“ uvedený v § 7 odst. 5 návrhu zákona. V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§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 xml:space="preserve">3 odst. 1 </w:t>
      </w:r>
      <w:r w:rsidR="00B63477" w:rsidRPr="00855BCF">
        <w:rPr>
          <w:rFonts w:ascii="Arial" w:hAnsi="Arial" w:cs="Arial"/>
          <w:bCs/>
          <w:spacing w:val="-2"/>
          <w:sz w:val="22"/>
          <w:szCs w:val="22"/>
        </w:rPr>
        <w:t xml:space="preserve">návrhu zákona </w:t>
      </w:r>
      <w:r w:rsidRPr="00855BCF">
        <w:rPr>
          <w:rFonts w:ascii="Arial" w:hAnsi="Arial" w:cs="Arial"/>
          <w:bCs/>
          <w:spacing w:val="-2"/>
          <w:sz w:val="22"/>
          <w:szCs w:val="22"/>
        </w:rPr>
        <w:t>se správně hovoří o státních zaměstnancích a</w:t>
      </w:r>
      <w:r w:rsidR="00AA5F86" w:rsidRPr="00855BCF">
        <w:rPr>
          <w:rFonts w:ascii="Arial" w:hAnsi="Arial" w:cs="Arial"/>
          <w:bCs/>
          <w:spacing w:val="-2"/>
          <w:sz w:val="22"/>
          <w:szCs w:val="22"/>
        </w:rPr>
        <w:t> </w:t>
      </w:r>
      <w:r w:rsidRPr="00855BCF">
        <w:rPr>
          <w:rFonts w:ascii="Arial" w:hAnsi="Arial" w:cs="Arial"/>
          <w:bCs/>
          <w:spacing w:val="-2"/>
          <w:sz w:val="22"/>
          <w:szCs w:val="22"/>
        </w:rPr>
        <w:t>zaměstnancích v</w:t>
      </w:r>
      <w:r w:rsidR="002F20B8" w:rsidRPr="00855BCF">
        <w:rPr>
          <w:rFonts w:ascii="Arial" w:hAnsi="Arial" w:cs="Arial"/>
          <w:bCs/>
          <w:spacing w:val="-2"/>
          <w:sz w:val="22"/>
          <w:szCs w:val="22"/>
        </w:rPr>
        <w:t> </w:t>
      </w:r>
      <w:r w:rsidRPr="00855BCF">
        <w:rPr>
          <w:rFonts w:ascii="Arial" w:hAnsi="Arial" w:cs="Arial"/>
          <w:bCs/>
          <w:spacing w:val="-2"/>
          <w:sz w:val="22"/>
          <w:szCs w:val="22"/>
        </w:rPr>
        <w:t>pracovním</w:t>
      </w:r>
      <w:r w:rsidRPr="0030182A">
        <w:rPr>
          <w:rFonts w:ascii="Arial" w:hAnsi="Arial" w:cs="Arial"/>
          <w:bCs/>
          <w:sz w:val="22"/>
          <w:szCs w:val="22"/>
        </w:rPr>
        <w:t xml:space="preserve"> poměru zařazených v Úřadu pro prevenci korupce a střetu zájmů, tato konstrukce by </w:t>
      </w:r>
      <w:r w:rsidR="002F20B8">
        <w:rPr>
          <w:rFonts w:ascii="Arial" w:hAnsi="Arial" w:cs="Arial"/>
          <w:bCs/>
          <w:sz w:val="22"/>
          <w:szCs w:val="22"/>
        </w:rPr>
        <w:t xml:space="preserve">tak </w:t>
      </w:r>
      <w:r w:rsidRPr="00855BCF">
        <w:rPr>
          <w:rFonts w:ascii="Arial" w:hAnsi="Arial" w:cs="Arial"/>
          <w:bCs/>
          <w:spacing w:val="-2"/>
          <w:sz w:val="22"/>
          <w:szCs w:val="22"/>
        </w:rPr>
        <w:t xml:space="preserve">měla být respektována i v dalších ustanoveních </w:t>
      </w:r>
      <w:r w:rsidR="00B63477" w:rsidRPr="00855BCF">
        <w:rPr>
          <w:rFonts w:ascii="Arial" w:hAnsi="Arial" w:cs="Arial"/>
          <w:bCs/>
          <w:spacing w:val="-2"/>
          <w:sz w:val="22"/>
          <w:szCs w:val="22"/>
        </w:rPr>
        <w:t xml:space="preserve">návrhu </w:t>
      </w:r>
      <w:r w:rsidRPr="00855BCF">
        <w:rPr>
          <w:rFonts w:ascii="Arial" w:hAnsi="Arial" w:cs="Arial"/>
          <w:bCs/>
          <w:spacing w:val="-2"/>
          <w:sz w:val="22"/>
          <w:szCs w:val="22"/>
        </w:rPr>
        <w:t xml:space="preserve">zákona. Zároveň </w:t>
      </w:r>
      <w:r w:rsidR="002F20B8" w:rsidRPr="00855BCF">
        <w:rPr>
          <w:rFonts w:ascii="Arial" w:hAnsi="Arial" w:cs="Arial"/>
          <w:bCs/>
          <w:spacing w:val="-2"/>
          <w:sz w:val="22"/>
          <w:szCs w:val="22"/>
        </w:rPr>
        <w:t>vláda</w:t>
      </w:r>
      <w:r w:rsidRPr="00855BCF">
        <w:rPr>
          <w:rFonts w:ascii="Arial" w:hAnsi="Arial" w:cs="Arial"/>
          <w:bCs/>
          <w:spacing w:val="-2"/>
          <w:sz w:val="22"/>
          <w:szCs w:val="22"/>
        </w:rPr>
        <w:t xml:space="preserve"> připomíná,</w:t>
      </w:r>
      <w:r w:rsidRPr="0030182A">
        <w:rPr>
          <w:rFonts w:ascii="Arial" w:hAnsi="Arial" w:cs="Arial"/>
          <w:bCs/>
          <w:sz w:val="22"/>
          <w:szCs w:val="22"/>
        </w:rPr>
        <w:t xml:space="preserve"> že</w:t>
      </w:r>
      <w:r w:rsidR="00B63477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obdobné ustanovení o mlčenlivosti bylo ze zákona o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střetu zájmů vypuštěno jeho novelou obsaženou v zákoně č. 14/2017 Sb. s</w:t>
      </w:r>
      <w:r w:rsidR="00AA5F86">
        <w:rPr>
          <w:rFonts w:ascii="Arial" w:hAnsi="Arial" w:cs="Arial"/>
          <w:bCs/>
          <w:sz w:val="22"/>
          <w:szCs w:val="22"/>
        </w:rPr>
        <w:t> </w:t>
      </w:r>
      <w:r w:rsidRPr="0030182A">
        <w:rPr>
          <w:rFonts w:ascii="Arial" w:hAnsi="Arial" w:cs="Arial"/>
          <w:bCs/>
          <w:sz w:val="22"/>
          <w:szCs w:val="22"/>
        </w:rPr>
        <w:t>argumentem duplicity s jinými právními předpisy, zejména předpisy upravujícími povinnosti zaměstnanců státu</w:t>
      </w:r>
      <w:r w:rsidR="002F20B8">
        <w:rPr>
          <w:rFonts w:ascii="Arial" w:hAnsi="Arial" w:cs="Arial"/>
          <w:bCs/>
          <w:sz w:val="22"/>
          <w:szCs w:val="22"/>
        </w:rPr>
        <w:t xml:space="preserve">, tedy se </w:t>
      </w:r>
      <w:r w:rsidRPr="0030182A">
        <w:rPr>
          <w:rFonts w:ascii="Arial" w:hAnsi="Arial" w:cs="Arial"/>
          <w:bCs/>
          <w:sz w:val="22"/>
          <w:szCs w:val="22"/>
        </w:rPr>
        <w:t>zákon</w:t>
      </w:r>
      <w:r w:rsidR="002F20B8">
        <w:rPr>
          <w:rFonts w:ascii="Arial" w:hAnsi="Arial" w:cs="Arial"/>
          <w:bCs/>
          <w:sz w:val="22"/>
          <w:szCs w:val="22"/>
        </w:rPr>
        <w:t>em</w:t>
      </w:r>
      <w:r w:rsidRPr="0030182A">
        <w:rPr>
          <w:rFonts w:ascii="Arial" w:hAnsi="Arial" w:cs="Arial"/>
          <w:bCs/>
          <w:sz w:val="22"/>
          <w:szCs w:val="22"/>
        </w:rPr>
        <w:t xml:space="preserve"> o státní službě</w:t>
      </w:r>
      <w:r w:rsidR="002F20B8">
        <w:rPr>
          <w:rFonts w:ascii="Arial" w:hAnsi="Arial" w:cs="Arial"/>
          <w:bCs/>
          <w:sz w:val="22"/>
          <w:szCs w:val="22"/>
        </w:rPr>
        <w:t xml:space="preserve"> nebo</w:t>
      </w:r>
      <w:r w:rsidRPr="0030182A">
        <w:rPr>
          <w:rFonts w:ascii="Arial" w:hAnsi="Arial" w:cs="Arial"/>
          <w:bCs/>
          <w:sz w:val="22"/>
          <w:szCs w:val="22"/>
        </w:rPr>
        <w:t xml:space="preserve"> zákoník</w:t>
      </w:r>
      <w:r w:rsidR="002F20B8">
        <w:rPr>
          <w:rFonts w:ascii="Arial" w:hAnsi="Arial" w:cs="Arial"/>
          <w:bCs/>
          <w:sz w:val="22"/>
          <w:szCs w:val="22"/>
        </w:rPr>
        <w:t>em</w:t>
      </w:r>
      <w:r w:rsidRPr="0030182A">
        <w:rPr>
          <w:rFonts w:ascii="Arial" w:hAnsi="Arial" w:cs="Arial"/>
          <w:bCs/>
          <w:sz w:val="22"/>
          <w:szCs w:val="22"/>
        </w:rPr>
        <w:t xml:space="preserve"> práce.</w:t>
      </w:r>
    </w:p>
    <w:p w14:paraId="6C56645A" w14:textId="77777777" w:rsidR="00F735DF" w:rsidRPr="002E2A52" w:rsidRDefault="00F735DF" w:rsidP="00D252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F735DF" w:rsidRPr="002E2A52" w:rsidSect="00916CAE">
      <w:headerReference w:type="even" r:id="rId8"/>
      <w:headerReference w:type="default" r:id="rId9"/>
      <w:footerReference w:type="default" r:id="rId10"/>
      <w:pgSz w:w="11906" w:h="16838"/>
      <w:pgMar w:top="16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8B65" w14:textId="77777777" w:rsidR="00EC3C20" w:rsidRDefault="00EC3C20">
      <w:r>
        <w:separator/>
      </w:r>
    </w:p>
  </w:endnote>
  <w:endnote w:type="continuationSeparator" w:id="0">
    <w:p w14:paraId="78B24362" w14:textId="77777777" w:rsidR="00EC3C20" w:rsidRDefault="00EC3C20">
      <w:r>
        <w:continuationSeparator/>
      </w:r>
    </w:p>
  </w:endnote>
  <w:endnote w:type="continuationNotice" w:id="1">
    <w:p w14:paraId="6DFDAEDB" w14:textId="77777777" w:rsidR="00EC3C20" w:rsidRDefault="00EC3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366" w14:textId="77777777" w:rsidR="00CE1817" w:rsidRDefault="00CE18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8E47" w14:textId="77777777" w:rsidR="00EC3C20" w:rsidRDefault="00EC3C20">
      <w:r>
        <w:separator/>
      </w:r>
    </w:p>
  </w:footnote>
  <w:footnote w:type="continuationSeparator" w:id="0">
    <w:p w14:paraId="4DEDDD53" w14:textId="77777777" w:rsidR="00EC3C20" w:rsidRDefault="00EC3C20">
      <w:r>
        <w:continuationSeparator/>
      </w:r>
    </w:p>
  </w:footnote>
  <w:footnote w:type="continuationNotice" w:id="1">
    <w:p w14:paraId="64128136" w14:textId="77777777" w:rsidR="00EC3C20" w:rsidRDefault="00EC3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0BD9" w14:textId="77777777" w:rsidR="00C763E6" w:rsidRDefault="00C763E6" w:rsidP="00EC3F3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097772" w14:textId="77777777" w:rsidR="00C763E6" w:rsidRDefault="00C76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3F41" w14:textId="0C4BBB6D" w:rsidR="00C763E6" w:rsidRDefault="00C763E6" w:rsidP="00EC3F3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0A0C">
      <w:rPr>
        <w:rStyle w:val="slostrnky"/>
        <w:noProof/>
      </w:rPr>
      <w:t>3</w:t>
    </w:r>
    <w:r>
      <w:rPr>
        <w:rStyle w:val="slostrnky"/>
      </w:rPr>
      <w:fldChar w:fldCharType="end"/>
    </w:r>
  </w:p>
  <w:p w14:paraId="60237F79" w14:textId="77777777" w:rsidR="00C763E6" w:rsidRDefault="00C76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AB6"/>
    <w:multiLevelType w:val="hybridMultilevel"/>
    <w:tmpl w:val="970C4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6427"/>
    <w:multiLevelType w:val="hybridMultilevel"/>
    <w:tmpl w:val="01D22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0AD1"/>
    <w:multiLevelType w:val="hybridMultilevel"/>
    <w:tmpl w:val="830E28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635CD"/>
    <w:multiLevelType w:val="hybridMultilevel"/>
    <w:tmpl w:val="C242CF26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A7690"/>
    <w:multiLevelType w:val="hybridMultilevel"/>
    <w:tmpl w:val="57BC3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1A38"/>
    <w:multiLevelType w:val="hybridMultilevel"/>
    <w:tmpl w:val="E670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786D"/>
    <w:multiLevelType w:val="hybridMultilevel"/>
    <w:tmpl w:val="E970010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114546"/>
    <w:multiLevelType w:val="hybridMultilevel"/>
    <w:tmpl w:val="89C03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E5E"/>
    <w:multiLevelType w:val="hybridMultilevel"/>
    <w:tmpl w:val="7A70A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1C9A"/>
    <w:multiLevelType w:val="hybridMultilevel"/>
    <w:tmpl w:val="13B8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76B6"/>
    <w:multiLevelType w:val="hybridMultilevel"/>
    <w:tmpl w:val="F224F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D20FA"/>
    <w:multiLevelType w:val="hybridMultilevel"/>
    <w:tmpl w:val="A2A04726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B4440"/>
    <w:multiLevelType w:val="hybridMultilevel"/>
    <w:tmpl w:val="8F006236"/>
    <w:lvl w:ilvl="0" w:tplc="158CDA92">
      <w:start w:val="1005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7E3C47"/>
    <w:multiLevelType w:val="hybridMultilevel"/>
    <w:tmpl w:val="78D02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22FD5"/>
    <w:multiLevelType w:val="hybridMultilevel"/>
    <w:tmpl w:val="A8A6874C"/>
    <w:lvl w:ilvl="0" w:tplc="8A962FD0">
      <w:start w:val="100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906B3"/>
    <w:multiLevelType w:val="hybridMultilevel"/>
    <w:tmpl w:val="8042D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853D4"/>
    <w:multiLevelType w:val="hybridMultilevel"/>
    <w:tmpl w:val="A2A04726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B1D68"/>
    <w:multiLevelType w:val="hybridMultilevel"/>
    <w:tmpl w:val="A454990C"/>
    <w:lvl w:ilvl="0" w:tplc="040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33173B66"/>
    <w:multiLevelType w:val="hybridMultilevel"/>
    <w:tmpl w:val="7348F5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F70AE4"/>
    <w:multiLevelType w:val="hybridMultilevel"/>
    <w:tmpl w:val="2C701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11A9A"/>
    <w:multiLevelType w:val="hybridMultilevel"/>
    <w:tmpl w:val="5BEA8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96C71"/>
    <w:multiLevelType w:val="hybridMultilevel"/>
    <w:tmpl w:val="E80E19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A92984"/>
    <w:multiLevelType w:val="hybridMultilevel"/>
    <w:tmpl w:val="07CC8724"/>
    <w:lvl w:ilvl="0" w:tplc="E6C6C236">
      <w:start w:val="1"/>
      <w:numFmt w:val="upperLetter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4784591D"/>
    <w:multiLevelType w:val="hybridMultilevel"/>
    <w:tmpl w:val="22E4C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54C0D"/>
    <w:multiLevelType w:val="hybridMultilevel"/>
    <w:tmpl w:val="BD726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C12B8"/>
    <w:multiLevelType w:val="hybridMultilevel"/>
    <w:tmpl w:val="90A6DC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13F14EE"/>
    <w:multiLevelType w:val="hybridMultilevel"/>
    <w:tmpl w:val="61E04FC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EE762C"/>
    <w:multiLevelType w:val="hybridMultilevel"/>
    <w:tmpl w:val="6B342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70276"/>
    <w:multiLevelType w:val="hybridMultilevel"/>
    <w:tmpl w:val="27FA23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88758E"/>
    <w:multiLevelType w:val="hybridMultilevel"/>
    <w:tmpl w:val="ACCEF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E1FEC"/>
    <w:multiLevelType w:val="hybridMultilevel"/>
    <w:tmpl w:val="B082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78DE"/>
    <w:multiLevelType w:val="multilevel"/>
    <w:tmpl w:val="5FEE78D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43A3B"/>
    <w:multiLevelType w:val="hybridMultilevel"/>
    <w:tmpl w:val="506488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8F6DD6"/>
    <w:multiLevelType w:val="hybridMultilevel"/>
    <w:tmpl w:val="E79AC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3202E"/>
    <w:multiLevelType w:val="hybridMultilevel"/>
    <w:tmpl w:val="745C92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C47CDF"/>
    <w:multiLevelType w:val="hybridMultilevel"/>
    <w:tmpl w:val="4BDC8D52"/>
    <w:lvl w:ilvl="0" w:tplc="64E4D872">
      <w:start w:val="100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319C9"/>
    <w:multiLevelType w:val="hybridMultilevel"/>
    <w:tmpl w:val="B8A28E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654216"/>
    <w:multiLevelType w:val="hybridMultilevel"/>
    <w:tmpl w:val="0A188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82DDB"/>
    <w:multiLevelType w:val="hybridMultilevel"/>
    <w:tmpl w:val="CD746A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6301740">
    <w:abstractNumId w:val="3"/>
  </w:num>
  <w:num w:numId="2" w16cid:durableId="1481923636">
    <w:abstractNumId w:val="16"/>
  </w:num>
  <w:num w:numId="3" w16cid:durableId="1182089294">
    <w:abstractNumId w:val="33"/>
  </w:num>
  <w:num w:numId="4" w16cid:durableId="2087797436">
    <w:abstractNumId w:val="29"/>
  </w:num>
  <w:num w:numId="5" w16cid:durableId="1501852379">
    <w:abstractNumId w:val="24"/>
  </w:num>
  <w:num w:numId="6" w16cid:durableId="1672294837">
    <w:abstractNumId w:val="35"/>
  </w:num>
  <w:num w:numId="7" w16cid:durableId="879559532">
    <w:abstractNumId w:val="14"/>
  </w:num>
  <w:num w:numId="8" w16cid:durableId="2141534194">
    <w:abstractNumId w:val="12"/>
  </w:num>
  <w:num w:numId="9" w16cid:durableId="1339039321">
    <w:abstractNumId w:val="24"/>
  </w:num>
  <w:num w:numId="10" w16cid:durableId="1348563177">
    <w:abstractNumId w:val="34"/>
  </w:num>
  <w:num w:numId="11" w16cid:durableId="1983925169">
    <w:abstractNumId w:val="2"/>
  </w:num>
  <w:num w:numId="12" w16cid:durableId="358238218">
    <w:abstractNumId w:val="15"/>
  </w:num>
  <w:num w:numId="13" w16cid:durableId="1556550489">
    <w:abstractNumId w:val="9"/>
  </w:num>
  <w:num w:numId="14" w16cid:durableId="64648890">
    <w:abstractNumId w:val="38"/>
  </w:num>
  <w:num w:numId="15" w16cid:durableId="346296091">
    <w:abstractNumId w:val="21"/>
  </w:num>
  <w:num w:numId="16" w16cid:durableId="629017418">
    <w:abstractNumId w:val="32"/>
  </w:num>
  <w:num w:numId="17" w16cid:durableId="1105927870">
    <w:abstractNumId w:val="25"/>
  </w:num>
  <w:num w:numId="18" w16cid:durableId="1896038273">
    <w:abstractNumId w:val="13"/>
  </w:num>
  <w:num w:numId="19" w16cid:durableId="1195919143">
    <w:abstractNumId w:val="7"/>
  </w:num>
  <w:num w:numId="20" w16cid:durableId="1288271718">
    <w:abstractNumId w:val="36"/>
  </w:num>
  <w:num w:numId="21" w16cid:durableId="639266275">
    <w:abstractNumId w:val="37"/>
  </w:num>
  <w:num w:numId="22" w16cid:durableId="1477650329">
    <w:abstractNumId w:val="17"/>
  </w:num>
  <w:num w:numId="23" w16cid:durableId="1147089533">
    <w:abstractNumId w:val="30"/>
  </w:num>
  <w:num w:numId="24" w16cid:durableId="1754431457">
    <w:abstractNumId w:val="8"/>
  </w:num>
  <w:num w:numId="25" w16cid:durableId="596332827">
    <w:abstractNumId w:val="22"/>
  </w:num>
  <w:num w:numId="26" w16cid:durableId="401686556">
    <w:abstractNumId w:val="11"/>
  </w:num>
  <w:num w:numId="27" w16cid:durableId="1801455916">
    <w:abstractNumId w:val="27"/>
  </w:num>
  <w:num w:numId="28" w16cid:durableId="1248883145">
    <w:abstractNumId w:val="23"/>
  </w:num>
  <w:num w:numId="29" w16cid:durableId="335502296">
    <w:abstractNumId w:val="18"/>
  </w:num>
  <w:num w:numId="30" w16cid:durableId="1527209143">
    <w:abstractNumId w:val="6"/>
  </w:num>
  <w:num w:numId="31" w16cid:durableId="1215585957">
    <w:abstractNumId w:val="4"/>
  </w:num>
  <w:num w:numId="32" w16cid:durableId="2107001345">
    <w:abstractNumId w:val="28"/>
  </w:num>
  <w:num w:numId="33" w16cid:durableId="732433497">
    <w:abstractNumId w:val="20"/>
  </w:num>
  <w:num w:numId="34" w16cid:durableId="238297838">
    <w:abstractNumId w:val="26"/>
  </w:num>
  <w:num w:numId="35" w16cid:durableId="923613915">
    <w:abstractNumId w:val="0"/>
  </w:num>
  <w:num w:numId="36" w16cid:durableId="1480150141">
    <w:abstractNumId w:val="19"/>
  </w:num>
  <w:num w:numId="37" w16cid:durableId="1628467622">
    <w:abstractNumId w:val="1"/>
  </w:num>
  <w:num w:numId="38" w16cid:durableId="1478493215">
    <w:abstractNumId w:val="31"/>
  </w:num>
  <w:num w:numId="39" w16cid:durableId="1009330398">
    <w:abstractNumId w:val="10"/>
  </w:num>
  <w:num w:numId="40" w16cid:durableId="173947772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41"/>
    <w:rsid w:val="00004779"/>
    <w:rsid w:val="000173BF"/>
    <w:rsid w:val="00020BFF"/>
    <w:rsid w:val="000407AD"/>
    <w:rsid w:val="00040A0A"/>
    <w:rsid w:val="000417B6"/>
    <w:rsid w:val="00047810"/>
    <w:rsid w:val="00053E4B"/>
    <w:rsid w:val="00062617"/>
    <w:rsid w:val="00063DEE"/>
    <w:rsid w:val="00065BDD"/>
    <w:rsid w:val="000679BC"/>
    <w:rsid w:val="000749C2"/>
    <w:rsid w:val="00080F00"/>
    <w:rsid w:val="00086713"/>
    <w:rsid w:val="00087672"/>
    <w:rsid w:val="00091D90"/>
    <w:rsid w:val="000922BC"/>
    <w:rsid w:val="00092307"/>
    <w:rsid w:val="00097AB4"/>
    <w:rsid w:val="000A6296"/>
    <w:rsid w:val="000A77CF"/>
    <w:rsid w:val="000B0677"/>
    <w:rsid w:val="000B0EDE"/>
    <w:rsid w:val="000B1582"/>
    <w:rsid w:val="000B1FB3"/>
    <w:rsid w:val="000B2DB0"/>
    <w:rsid w:val="000B7529"/>
    <w:rsid w:val="000B7D7D"/>
    <w:rsid w:val="000C1E05"/>
    <w:rsid w:val="000C3D7D"/>
    <w:rsid w:val="000C3F8E"/>
    <w:rsid w:val="000C73E6"/>
    <w:rsid w:val="000C755E"/>
    <w:rsid w:val="000D3901"/>
    <w:rsid w:val="000D5B3F"/>
    <w:rsid w:val="000D622E"/>
    <w:rsid w:val="000E1A05"/>
    <w:rsid w:val="000E3692"/>
    <w:rsid w:val="000E3772"/>
    <w:rsid w:val="000E3C20"/>
    <w:rsid w:val="000F0F7C"/>
    <w:rsid w:val="000F6882"/>
    <w:rsid w:val="00100694"/>
    <w:rsid w:val="00101434"/>
    <w:rsid w:val="001057F4"/>
    <w:rsid w:val="00107B16"/>
    <w:rsid w:val="0012128A"/>
    <w:rsid w:val="00121A60"/>
    <w:rsid w:val="00122AFD"/>
    <w:rsid w:val="00123749"/>
    <w:rsid w:val="00131EBC"/>
    <w:rsid w:val="00132012"/>
    <w:rsid w:val="00135FD5"/>
    <w:rsid w:val="00136EC9"/>
    <w:rsid w:val="00137204"/>
    <w:rsid w:val="00137550"/>
    <w:rsid w:val="0014155D"/>
    <w:rsid w:val="001437DC"/>
    <w:rsid w:val="00144ABA"/>
    <w:rsid w:val="0015011E"/>
    <w:rsid w:val="00150864"/>
    <w:rsid w:val="00153D12"/>
    <w:rsid w:val="0015622B"/>
    <w:rsid w:val="00157297"/>
    <w:rsid w:val="00157E1E"/>
    <w:rsid w:val="00160D55"/>
    <w:rsid w:val="00165903"/>
    <w:rsid w:val="00170C12"/>
    <w:rsid w:val="0017222E"/>
    <w:rsid w:val="001726C4"/>
    <w:rsid w:val="001729D1"/>
    <w:rsid w:val="00173627"/>
    <w:rsid w:val="00173D3D"/>
    <w:rsid w:val="0017404F"/>
    <w:rsid w:val="00175FA6"/>
    <w:rsid w:val="00176C65"/>
    <w:rsid w:val="00177086"/>
    <w:rsid w:val="00177A20"/>
    <w:rsid w:val="00181598"/>
    <w:rsid w:val="0018218D"/>
    <w:rsid w:val="00183564"/>
    <w:rsid w:val="00183A37"/>
    <w:rsid w:val="0018473E"/>
    <w:rsid w:val="0018585A"/>
    <w:rsid w:val="00190785"/>
    <w:rsid w:val="00191471"/>
    <w:rsid w:val="00191A3E"/>
    <w:rsid w:val="001A17EF"/>
    <w:rsid w:val="001A34AB"/>
    <w:rsid w:val="001A56E4"/>
    <w:rsid w:val="001A5EF3"/>
    <w:rsid w:val="001A787F"/>
    <w:rsid w:val="001B2C0E"/>
    <w:rsid w:val="001C1EAE"/>
    <w:rsid w:val="001C28A1"/>
    <w:rsid w:val="001C4DAD"/>
    <w:rsid w:val="001C6038"/>
    <w:rsid w:val="001D0C17"/>
    <w:rsid w:val="001D0CCF"/>
    <w:rsid w:val="001D2BC6"/>
    <w:rsid w:val="001D3AEE"/>
    <w:rsid w:val="001D4438"/>
    <w:rsid w:val="001D62D1"/>
    <w:rsid w:val="001D6874"/>
    <w:rsid w:val="001D700B"/>
    <w:rsid w:val="001D7C5F"/>
    <w:rsid w:val="001E22B5"/>
    <w:rsid w:val="001E284D"/>
    <w:rsid w:val="001E2B64"/>
    <w:rsid w:val="001F2385"/>
    <w:rsid w:val="001F5814"/>
    <w:rsid w:val="00200267"/>
    <w:rsid w:val="00200D4F"/>
    <w:rsid w:val="002012B0"/>
    <w:rsid w:val="0020166D"/>
    <w:rsid w:val="0020332F"/>
    <w:rsid w:val="0022006A"/>
    <w:rsid w:val="00230E67"/>
    <w:rsid w:val="00234A22"/>
    <w:rsid w:val="00237B48"/>
    <w:rsid w:val="00241505"/>
    <w:rsid w:val="002421C4"/>
    <w:rsid w:val="00242B8D"/>
    <w:rsid w:val="002445C4"/>
    <w:rsid w:val="00251056"/>
    <w:rsid w:val="0025413F"/>
    <w:rsid w:val="00254199"/>
    <w:rsid w:val="002634F8"/>
    <w:rsid w:val="00265D33"/>
    <w:rsid w:val="002724ED"/>
    <w:rsid w:val="00273C70"/>
    <w:rsid w:val="00274570"/>
    <w:rsid w:val="00286083"/>
    <w:rsid w:val="00290809"/>
    <w:rsid w:val="002932DB"/>
    <w:rsid w:val="0029370C"/>
    <w:rsid w:val="00293AE3"/>
    <w:rsid w:val="00294E6F"/>
    <w:rsid w:val="0029641B"/>
    <w:rsid w:val="002A12B0"/>
    <w:rsid w:val="002A12C4"/>
    <w:rsid w:val="002A6E55"/>
    <w:rsid w:val="002A7C75"/>
    <w:rsid w:val="002B0E15"/>
    <w:rsid w:val="002B1A89"/>
    <w:rsid w:val="002B52FB"/>
    <w:rsid w:val="002B5A83"/>
    <w:rsid w:val="002C2A00"/>
    <w:rsid w:val="002C3D2D"/>
    <w:rsid w:val="002C679F"/>
    <w:rsid w:val="002D0C74"/>
    <w:rsid w:val="002D1907"/>
    <w:rsid w:val="002D5CCC"/>
    <w:rsid w:val="002D5EB5"/>
    <w:rsid w:val="002D7A77"/>
    <w:rsid w:val="002E2A52"/>
    <w:rsid w:val="002E3134"/>
    <w:rsid w:val="002E520C"/>
    <w:rsid w:val="002E77DD"/>
    <w:rsid w:val="002F15E2"/>
    <w:rsid w:val="002F1A7C"/>
    <w:rsid w:val="002F1B63"/>
    <w:rsid w:val="002F20B8"/>
    <w:rsid w:val="002F4946"/>
    <w:rsid w:val="002F6735"/>
    <w:rsid w:val="002F7DED"/>
    <w:rsid w:val="00300603"/>
    <w:rsid w:val="0030182A"/>
    <w:rsid w:val="00305409"/>
    <w:rsid w:val="003127D4"/>
    <w:rsid w:val="00314CD1"/>
    <w:rsid w:val="003153B8"/>
    <w:rsid w:val="00315DBB"/>
    <w:rsid w:val="00316759"/>
    <w:rsid w:val="003325E9"/>
    <w:rsid w:val="00335DFF"/>
    <w:rsid w:val="00341DB4"/>
    <w:rsid w:val="0034312B"/>
    <w:rsid w:val="003437E4"/>
    <w:rsid w:val="00343F3A"/>
    <w:rsid w:val="00344746"/>
    <w:rsid w:val="0035062F"/>
    <w:rsid w:val="00352FEC"/>
    <w:rsid w:val="00353D03"/>
    <w:rsid w:val="003546D2"/>
    <w:rsid w:val="00355BB9"/>
    <w:rsid w:val="0036021B"/>
    <w:rsid w:val="0036156B"/>
    <w:rsid w:val="0036288F"/>
    <w:rsid w:val="00362CEC"/>
    <w:rsid w:val="00371E7C"/>
    <w:rsid w:val="003721F0"/>
    <w:rsid w:val="003734E8"/>
    <w:rsid w:val="003735A0"/>
    <w:rsid w:val="00375154"/>
    <w:rsid w:val="00376BD3"/>
    <w:rsid w:val="00381F40"/>
    <w:rsid w:val="003836A8"/>
    <w:rsid w:val="003943BE"/>
    <w:rsid w:val="003973CA"/>
    <w:rsid w:val="003A1DA1"/>
    <w:rsid w:val="003A26C9"/>
    <w:rsid w:val="003A3AB5"/>
    <w:rsid w:val="003A478C"/>
    <w:rsid w:val="003A4EC9"/>
    <w:rsid w:val="003C3D15"/>
    <w:rsid w:val="003C4984"/>
    <w:rsid w:val="003D0B65"/>
    <w:rsid w:val="003D12CD"/>
    <w:rsid w:val="003D27F3"/>
    <w:rsid w:val="003D2D00"/>
    <w:rsid w:val="003D437F"/>
    <w:rsid w:val="003D4DA8"/>
    <w:rsid w:val="003D6A5C"/>
    <w:rsid w:val="003D6CDE"/>
    <w:rsid w:val="003E080D"/>
    <w:rsid w:val="003E1614"/>
    <w:rsid w:val="003E60C1"/>
    <w:rsid w:val="003F1AAD"/>
    <w:rsid w:val="003F34A8"/>
    <w:rsid w:val="003F5BC4"/>
    <w:rsid w:val="00401B7A"/>
    <w:rsid w:val="0040254C"/>
    <w:rsid w:val="004033CA"/>
    <w:rsid w:val="0040406A"/>
    <w:rsid w:val="00411F5B"/>
    <w:rsid w:val="004121F8"/>
    <w:rsid w:val="004127E9"/>
    <w:rsid w:val="00412EF8"/>
    <w:rsid w:val="00416207"/>
    <w:rsid w:val="00420860"/>
    <w:rsid w:val="004248DA"/>
    <w:rsid w:val="00427FB8"/>
    <w:rsid w:val="00431DA5"/>
    <w:rsid w:val="00432104"/>
    <w:rsid w:val="00432B1A"/>
    <w:rsid w:val="00432BEC"/>
    <w:rsid w:val="004332FD"/>
    <w:rsid w:val="004338FA"/>
    <w:rsid w:val="004352E6"/>
    <w:rsid w:val="004375B1"/>
    <w:rsid w:val="0044098B"/>
    <w:rsid w:val="00442963"/>
    <w:rsid w:val="0044340A"/>
    <w:rsid w:val="00452F1E"/>
    <w:rsid w:val="00453A05"/>
    <w:rsid w:val="00453BBF"/>
    <w:rsid w:val="00462CDE"/>
    <w:rsid w:val="00472033"/>
    <w:rsid w:val="00472C00"/>
    <w:rsid w:val="0047732C"/>
    <w:rsid w:val="0047746D"/>
    <w:rsid w:val="0048577F"/>
    <w:rsid w:val="00491226"/>
    <w:rsid w:val="0049393B"/>
    <w:rsid w:val="0049706C"/>
    <w:rsid w:val="004A51AF"/>
    <w:rsid w:val="004A5508"/>
    <w:rsid w:val="004B05D5"/>
    <w:rsid w:val="004B1167"/>
    <w:rsid w:val="004B18DE"/>
    <w:rsid w:val="004B31F5"/>
    <w:rsid w:val="004B5BFB"/>
    <w:rsid w:val="004B69D8"/>
    <w:rsid w:val="004C4ADF"/>
    <w:rsid w:val="004C5362"/>
    <w:rsid w:val="004D027B"/>
    <w:rsid w:val="004D07C1"/>
    <w:rsid w:val="004D242F"/>
    <w:rsid w:val="004D2961"/>
    <w:rsid w:val="004D3228"/>
    <w:rsid w:val="004D7567"/>
    <w:rsid w:val="004F0C46"/>
    <w:rsid w:val="004F6DB1"/>
    <w:rsid w:val="00500AAA"/>
    <w:rsid w:val="00504D41"/>
    <w:rsid w:val="00505191"/>
    <w:rsid w:val="00513160"/>
    <w:rsid w:val="00517CF0"/>
    <w:rsid w:val="00521E84"/>
    <w:rsid w:val="0052606D"/>
    <w:rsid w:val="00532D51"/>
    <w:rsid w:val="00533888"/>
    <w:rsid w:val="005369B3"/>
    <w:rsid w:val="00540DE1"/>
    <w:rsid w:val="005414EF"/>
    <w:rsid w:val="0054483C"/>
    <w:rsid w:val="00544F41"/>
    <w:rsid w:val="00552467"/>
    <w:rsid w:val="00552645"/>
    <w:rsid w:val="00557FCD"/>
    <w:rsid w:val="005600D4"/>
    <w:rsid w:val="005654DB"/>
    <w:rsid w:val="0057292D"/>
    <w:rsid w:val="0057655F"/>
    <w:rsid w:val="00585895"/>
    <w:rsid w:val="00587570"/>
    <w:rsid w:val="00590F97"/>
    <w:rsid w:val="005A061F"/>
    <w:rsid w:val="005A6638"/>
    <w:rsid w:val="005B0AED"/>
    <w:rsid w:val="005B2D8A"/>
    <w:rsid w:val="005B2E5C"/>
    <w:rsid w:val="005B3AA6"/>
    <w:rsid w:val="005B6BF6"/>
    <w:rsid w:val="005C08E3"/>
    <w:rsid w:val="005C0D92"/>
    <w:rsid w:val="005C53E1"/>
    <w:rsid w:val="005D0679"/>
    <w:rsid w:val="005D58EC"/>
    <w:rsid w:val="005E421A"/>
    <w:rsid w:val="005E6714"/>
    <w:rsid w:val="005E6932"/>
    <w:rsid w:val="005F03A0"/>
    <w:rsid w:val="005F10A5"/>
    <w:rsid w:val="005F19D8"/>
    <w:rsid w:val="005F4392"/>
    <w:rsid w:val="005F5267"/>
    <w:rsid w:val="005F54A1"/>
    <w:rsid w:val="005F6763"/>
    <w:rsid w:val="005F6B6C"/>
    <w:rsid w:val="005F7A6E"/>
    <w:rsid w:val="006028B5"/>
    <w:rsid w:val="00603CB0"/>
    <w:rsid w:val="00605230"/>
    <w:rsid w:val="00605F3E"/>
    <w:rsid w:val="0060645A"/>
    <w:rsid w:val="0061198E"/>
    <w:rsid w:val="00611A16"/>
    <w:rsid w:val="0062450F"/>
    <w:rsid w:val="006349D9"/>
    <w:rsid w:val="0063600B"/>
    <w:rsid w:val="00636BFF"/>
    <w:rsid w:val="006379DA"/>
    <w:rsid w:val="00641C46"/>
    <w:rsid w:val="0064270F"/>
    <w:rsid w:val="00644E24"/>
    <w:rsid w:val="0064581B"/>
    <w:rsid w:val="006458DC"/>
    <w:rsid w:val="00645F97"/>
    <w:rsid w:val="00646002"/>
    <w:rsid w:val="006559EE"/>
    <w:rsid w:val="0065652F"/>
    <w:rsid w:val="00661C07"/>
    <w:rsid w:val="00662D0C"/>
    <w:rsid w:val="00665DCB"/>
    <w:rsid w:val="00667B1D"/>
    <w:rsid w:val="0067195C"/>
    <w:rsid w:val="0068301F"/>
    <w:rsid w:val="00683684"/>
    <w:rsid w:val="006858DE"/>
    <w:rsid w:val="00693DB7"/>
    <w:rsid w:val="006A1599"/>
    <w:rsid w:val="006A27DE"/>
    <w:rsid w:val="006A4087"/>
    <w:rsid w:val="006A40EF"/>
    <w:rsid w:val="006A5100"/>
    <w:rsid w:val="006B17A3"/>
    <w:rsid w:val="006B2032"/>
    <w:rsid w:val="006B2D21"/>
    <w:rsid w:val="006B40E2"/>
    <w:rsid w:val="006B4A6C"/>
    <w:rsid w:val="006B54A6"/>
    <w:rsid w:val="006B5F75"/>
    <w:rsid w:val="006C16DE"/>
    <w:rsid w:val="006C1C25"/>
    <w:rsid w:val="006C1D3A"/>
    <w:rsid w:val="006D2372"/>
    <w:rsid w:val="006D7A25"/>
    <w:rsid w:val="006E21C0"/>
    <w:rsid w:val="006E21E1"/>
    <w:rsid w:val="006E30A8"/>
    <w:rsid w:val="006F12D7"/>
    <w:rsid w:val="006F5AA9"/>
    <w:rsid w:val="007103E1"/>
    <w:rsid w:val="0071320B"/>
    <w:rsid w:val="00717502"/>
    <w:rsid w:val="00720793"/>
    <w:rsid w:val="00733E8B"/>
    <w:rsid w:val="0073643B"/>
    <w:rsid w:val="00736BD6"/>
    <w:rsid w:val="007408FE"/>
    <w:rsid w:val="007433F6"/>
    <w:rsid w:val="00744C2C"/>
    <w:rsid w:val="00750325"/>
    <w:rsid w:val="007503FF"/>
    <w:rsid w:val="0075670D"/>
    <w:rsid w:val="00757A93"/>
    <w:rsid w:val="007600AE"/>
    <w:rsid w:val="007623F5"/>
    <w:rsid w:val="00764210"/>
    <w:rsid w:val="007646D8"/>
    <w:rsid w:val="00765926"/>
    <w:rsid w:val="00765B3B"/>
    <w:rsid w:val="007706CD"/>
    <w:rsid w:val="00772FF3"/>
    <w:rsid w:val="00776A6A"/>
    <w:rsid w:val="0077754D"/>
    <w:rsid w:val="007833CA"/>
    <w:rsid w:val="00783D53"/>
    <w:rsid w:val="00790ED6"/>
    <w:rsid w:val="00792A0F"/>
    <w:rsid w:val="00794F68"/>
    <w:rsid w:val="007A2FFC"/>
    <w:rsid w:val="007B255F"/>
    <w:rsid w:val="007B5865"/>
    <w:rsid w:val="007B65F4"/>
    <w:rsid w:val="007C0AD8"/>
    <w:rsid w:val="007C766C"/>
    <w:rsid w:val="007D11FF"/>
    <w:rsid w:val="007D2F78"/>
    <w:rsid w:val="007D3386"/>
    <w:rsid w:val="007D4BAE"/>
    <w:rsid w:val="007D7020"/>
    <w:rsid w:val="007E0AA6"/>
    <w:rsid w:val="007E4C3C"/>
    <w:rsid w:val="007E5060"/>
    <w:rsid w:val="007E5A5C"/>
    <w:rsid w:val="007F2146"/>
    <w:rsid w:val="008023E6"/>
    <w:rsid w:val="0080435C"/>
    <w:rsid w:val="00810C62"/>
    <w:rsid w:val="00812DDC"/>
    <w:rsid w:val="0081452E"/>
    <w:rsid w:val="0081527B"/>
    <w:rsid w:val="00820E85"/>
    <w:rsid w:val="00822ED8"/>
    <w:rsid w:val="008256EA"/>
    <w:rsid w:val="0082625C"/>
    <w:rsid w:val="00843FAE"/>
    <w:rsid w:val="008455B7"/>
    <w:rsid w:val="0084656C"/>
    <w:rsid w:val="008508CC"/>
    <w:rsid w:val="0085316D"/>
    <w:rsid w:val="008545DD"/>
    <w:rsid w:val="00855BCF"/>
    <w:rsid w:val="0085602B"/>
    <w:rsid w:val="00857301"/>
    <w:rsid w:val="008577DB"/>
    <w:rsid w:val="00860A8F"/>
    <w:rsid w:val="00863489"/>
    <w:rsid w:val="00863F0D"/>
    <w:rsid w:val="00865039"/>
    <w:rsid w:val="00870ADC"/>
    <w:rsid w:val="00872A6E"/>
    <w:rsid w:val="00872F1A"/>
    <w:rsid w:val="00877F32"/>
    <w:rsid w:val="00881010"/>
    <w:rsid w:val="008810DF"/>
    <w:rsid w:val="00881CBA"/>
    <w:rsid w:val="00882951"/>
    <w:rsid w:val="00886A8B"/>
    <w:rsid w:val="00886BB5"/>
    <w:rsid w:val="008874A3"/>
    <w:rsid w:val="00890724"/>
    <w:rsid w:val="008933BE"/>
    <w:rsid w:val="00896198"/>
    <w:rsid w:val="008A0483"/>
    <w:rsid w:val="008A304F"/>
    <w:rsid w:val="008A7B0F"/>
    <w:rsid w:val="008B200C"/>
    <w:rsid w:val="008B24D6"/>
    <w:rsid w:val="008C19AD"/>
    <w:rsid w:val="008C688D"/>
    <w:rsid w:val="008D67B5"/>
    <w:rsid w:val="008D6E8A"/>
    <w:rsid w:val="008E08A4"/>
    <w:rsid w:val="008E1E6C"/>
    <w:rsid w:val="008E220A"/>
    <w:rsid w:val="008E3C57"/>
    <w:rsid w:val="008F1476"/>
    <w:rsid w:val="008F1A35"/>
    <w:rsid w:val="008F6B10"/>
    <w:rsid w:val="008F7363"/>
    <w:rsid w:val="00900407"/>
    <w:rsid w:val="009036D8"/>
    <w:rsid w:val="00903D81"/>
    <w:rsid w:val="00910E11"/>
    <w:rsid w:val="00911047"/>
    <w:rsid w:val="00912F5F"/>
    <w:rsid w:val="00916CAE"/>
    <w:rsid w:val="00922BA1"/>
    <w:rsid w:val="00930A0C"/>
    <w:rsid w:val="00931709"/>
    <w:rsid w:val="00931930"/>
    <w:rsid w:val="00933EE7"/>
    <w:rsid w:val="009340EA"/>
    <w:rsid w:val="0093436F"/>
    <w:rsid w:val="009362EE"/>
    <w:rsid w:val="00943832"/>
    <w:rsid w:val="009440A3"/>
    <w:rsid w:val="00947903"/>
    <w:rsid w:val="009479CF"/>
    <w:rsid w:val="00947BD3"/>
    <w:rsid w:val="00947E0C"/>
    <w:rsid w:val="0095790F"/>
    <w:rsid w:val="00960492"/>
    <w:rsid w:val="00962BCD"/>
    <w:rsid w:val="00962F06"/>
    <w:rsid w:val="00965092"/>
    <w:rsid w:val="00965ED1"/>
    <w:rsid w:val="00977241"/>
    <w:rsid w:val="0098291B"/>
    <w:rsid w:val="00986679"/>
    <w:rsid w:val="00987B0E"/>
    <w:rsid w:val="009932E8"/>
    <w:rsid w:val="0099372E"/>
    <w:rsid w:val="00996636"/>
    <w:rsid w:val="00996DC4"/>
    <w:rsid w:val="009A27B2"/>
    <w:rsid w:val="009A4BB5"/>
    <w:rsid w:val="009B036E"/>
    <w:rsid w:val="009B3321"/>
    <w:rsid w:val="009B42D6"/>
    <w:rsid w:val="009B4F19"/>
    <w:rsid w:val="009B5160"/>
    <w:rsid w:val="009B7DE2"/>
    <w:rsid w:val="009B7E93"/>
    <w:rsid w:val="009B7F37"/>
    <w:rsid w:val="009C25B2"/>
    <w:rsid w:val="009C478B"/>
    <w:rsid w:val="009C7244"/>
    <w:rsid w:val="009D4177"/>
    <w:rsid w:val="009E46AF"/>
    <w:rsid w:val="009F04A5"/>
    <w:rsid w:val="009F27F4"/>
    <w:rsid w:val="00A0226D"/>
    <w:rsid w:val="00A05B06"/>
    <w:rsid w:val="00A06E9F"/>
    <w:rsid w:val="00A1114C"/>
    <w:rsid w:val="00A115CD"/>
    <w:rsid w:val="00A13BF6"/>
    <w:rsid w:val="00A13C55"/>
    <w:rsid w:val="00A13E1A"/>
    <w:rsid w:val="00A1422C"/>
    <w:rsid w:val="00A1527B"/>
    <w:rsid w:val="00A16E90"/>
    <w:rsid w:val="00A171DA"/>
    <w:rsid w:val="00A1732B"/>
    <w:rsid w:val="00A35FD0"/>
    <w:rsid w:val="00A36A8E"/>
    <w:rsid w:val="00A3710C"/>
    <w:rsid w:val="00A43E3B"/>
    <w:rsid w:val="00A50D3C"/>
    <w:rsid w:val="00A53781"/>
    <w:rsid w:val="00A546CC"/>
    <w:rsid w:val="00A61AFA"/>
    <w:rsid w:val="00A73C83"/>
    <w:rsid w:val="00A81A5B"/>
    <w:rsid w:val="00A821A0"/>
    <w:rsid w:val="00A87434"/>
    <w:rsid w:val="00A9131E"/>
    <w:rsid w:val="00A91AB4"/>
    <w:rsid w:val="00A91B74"/>
    <w:rsid w:val="00A9413F"/>
    <w:rsid w:val="00A94AA3"/>
    <w:rsid w:val="00AA02B7"/>
    <w:rsid w:val="00AA2227"/>
    <w:rsid w:val="00AA2E17"/>
    <w:rsid w:val="00AA5F86"/>
    <w:rsid w:val="00AB0F51"/>
    <w:rsid w:val="00AB5BB5"/>
    <w:rsid w:val="00AC1BEA"/>
    <w:rsid w:val="00AC5D0A"/>
    <w:rsid w:val="00AD34A4"/>
    <w:rsid w:val="00AD57CF"/>
    <w:rsid w:val="00AD7AC2"/>
    <w:rsid w:val="00AE027D"/>
    <w:rsid w:val="00AE36C9"/>
    <w:rsid w:val="00AE48FA"/>
    <w:rsid w:val="00AE6054"/>
    <w:rsid w:val="00AE7CAE"/>
    <w:rsid w:val="00AE7D16"/>
    <w:rsid w:val="00AF6EA7"/>
    <w:rsid w:val="00AF75BF"/>
    <w:rsid w:val="00B02F49"/>
    <w:rsid w:val="00B03E75"/>
    <w:rsid w:val="00B04CC1"/>
    <w:rsid w:val="00B1321C"/>
    <w:rsid w:val="00B1613C"/>
    <w:rsid w:val="00B16377"/>
    <w:rsid w:val="00B2147F"/>
    <w:rsid w:val="00B215D9"/>
    <w:rsid w:val="00B31CD7"/>
    <w:rsid w:val="00B32085"/>
    <w:rsid w:val="00B379DE"/>
    <w:rsid w:val="00B37A53"/>
    <w:rsid w:val="00B40229"/>
    <w:rsid w:val="00B40A99"/>
    <w:rsid w:val="00B5466A"/>
    <w:rsid w:val="00B63477"/>
    <w:rsid w:val="00B6641A"/>
    <w:rsid w:val="00B66DD0"/>
    <w:rsid w:val="00B7256F"/>
    <w:rsid w:val="00B8325A"/>
    <w:rsid w:val="00B84F4D"/>
    <w:rsid w:val="00B93A1E"/>
    <w:rsid w:val="00B93D35"/>
    <w:rsid w:val="00B93DB3"/>
    <w:rsid w:val="00B94069"/>
    <w:rsid w:val="00B9422E"/>
    <w:rsid w:val="00B94BBC"/>
    <w:rsid w:val="00B96C9E"/>
    <w:rsid w:val="00BA1CED"/>
    <w:rsid w:val="00BA4E18"/>
    <w:rsid w:val="00BA58C9"/>
    <w:rsid w:val="00BB2EEA"/>
    <w:rsid w:val="00BB3C40"/>
    <w:rsid w:val="00BB425F"/>
    <w:rsid w:val="00BC0FD1"/>
    <w:rsid w:val="00BC34F7"/>
    <w:rsid w:val="00BC56D1"/>
    <w:rsid w:val="00BC6176"/>
    <w:rsid w:val="00BC7AD9"/>
    <w:rsid w:val="00BD0792"/>
    <w:rsid w:val="00BE0C57"/>
    <w:rsid w:val="00BF2139"/>
    <w:rsid w:val="00BF3159"/>
    <w:rsid w:val="00BF31A6"/>
    <w:rsid w:val="00C053D0"/>
    <w:rsid w:val="00C11682"/>
    <w:rsid w:val="00C126A1"/>
    <w:rsid w:val="00C14C6D"/>
    <w:rsid w:val="00C1678E"/>
    <w:rsid w:val="00C16A57"/>
    <w:rsid w:val="00C21795"/>
    <w:rsid w:val="00C34965"/>
    <w:rsid w:val="00C35001"/>
    <w:rsid w:val="00C41B95"/>
    <w:rsid w:val="00C42AF7"/>
    <w:rsid w:val="00C4614D"/>
    <w:rsid w:val="00C50BE6"/>
    <w:rsid w:val="00C53855"/>
    <w:rsid w:val="00C5689A"/>
    <w:rsid w:val="00C60A07"/>
    <w:rsid w:val="00C615DC"/>
    <w:rsid w:val="00C62B19"/>
    <w:rsid w:val="00C6480F"/>
    <w:rsid w:val="00C65299"/>
    <w:rsid w:val="00C652D0"/>
    <w:rsid w:val="00C6621A"/>
    <w:rsid w:val="00C6663B"/>
    <w:rsid w:val="00C70588"/>
    <w:rsid w:val="00C729B8"/>
    <w:rsid w:val="00C743EB"/>
    <w:rsid w:val="00C763E6"/>
    <w:rsid w:val="00C843E6"/>
    <w:rsid w:val="00C95AFB"/>
    <w:rsid w:val="00CA5964"/>
    <w:rsid w:val="00CA75F8"/>
    <w:rsid w:val="00CB207F"/>
    <w:rsid w:val="00CB279C"/>
    <w:rsid w:val="00CB3FE4"/>
    <w:rsid w:val="00CB54D0"/>
    <w:rsid w:val="00CB7D50"/>
    <w:rsid w:val="00CC3B0C"/>
    <w:rsid w:val="00CC693C"/>
    <w:rsid w:val="00CD1B3F"/>
    <w:rsid w:val="00CD4798"/>
    <w:rsid w:val="00CE1817"/>
    <w:rsid w:val="00CE1CEB"/>
    <w:rsid w:val="00CF79AE"/>
    <w:rsid w:val="00D01B1D"/>
    <w:rsid w:val="00D02DF0"/>
    <w:rsid w:val="00D11543"/>
    <w:rsid w:val="00D11822"/>
    <w:rsid w:val="00D121B1"/>
    <w:rsid w:val="00D152D9"/>
    <w:rsid w:val="00D15AE4"/>
    <w:rsid w:val="00D15E89"/>
    <w:rsid w:val="00D2320D"/>
    <w:rsid w:val="00D232D8"/>
    <w:rsid w:val="00D23DF4"/>
    <w:rsid w:val="00D25265"/>
    <w:rsid w:val="00D31F45"/>
    <w:rsid w:val="00D32961"/>
    <w:rsid w:val="00D32963"/>
    <w:rsid w:val="00D330CD"/>
    <w:rsid w:val="00D336B9"/>
    <w:rsid w:val="00D54DC0"/>
    <w:rsid w:val="00D56C7A"/>
    <w:rsid w:val="00D57518"/>
    <w:rsid w:val="00D63C0E"/>
    <w:rsid w:val="00D727D1"/>
    <w:rsid w:val="00D81D6E"/>
    <w:rsid w:val="00D90D83"/>
    <w:rsid w:val="00D911F4"/>
    <w:rsid w:val="00D94424"/>
    <w:rsid w:val="00D96042"/>
    <w:rsid w:val="00DA2FB7"/>
    <w:rsid w:val="00DA539A"/>
    <w:rsid w:val="00DA7595"/>
    <w:rsid w:val="00DB1802"/>
    <w:rsid w:val="00DB1B46"/>
    <w:rsid w:val="00DB6194"/>
    <w:rsid w:val="00DB6B61"/>
    <w:rsid w:val="00DC0E3C"/>
    <w:rsid w:val="00DC2D85"/>
    <w:rsid w:val="00DC5D2B"/>
    <w:rsid w:val="00DC6558"/>
    <w:rsid w:val="00DD4D0C"/>
    <w:rsid w:val="00DD7311"/>
    <w:rsid w:val="00DE1253"/>
    <w:rsid w:val="00DE51C0"/>
    <w:rsid w:val="00DE7F92"/>
    <w:rsid w:val="00DF3FC6"/>
    <w:rsid w:val="00DF50A8"/>
    <w:rsid w:val="00DF6184"/>
    <w:rsid w:val="00E008CB"/>
    <w:rsid w:val="00E013C2"/>
    <w:rsid w:val="00E05F11"/>
    <w:rsid w:val="00E06C05"/>
    <w:rsid w:val="00E07A94"/>
    <w:rsid w:val="00E10F0B"/>
    <w:rsid w:val="00E1172B"/>
    <w:rsid w:val="00E17BFC"/>
    <w:rsid w:val="00E247F5"/>
    <w:rsid w:val="00E262CA"/>
    <w:rsid w:val="00E266FA"/>
    <w:rsid w:val="00E3391A"/>
    <w:rsid w:val="00E43E38"/>
    <w:rsid w:val="00E45380"/>
    <w:rsid w:val="00E45AC5"/>
    <w:rsid w:val="00E4771D"/>
    <w:rsid w:val="00E542C9"/>
    <w:rsid w:val="00E574A9"/>
    <w:rsid w:val="00E61967"/>
    <w:rsid w:val="00E62BE5"/>
    <w:rsid w:val="00E62C20"/>
    <w:rsid w:val="00E64CFC"/>
    <w:rsid w:val="00E672D6"/>
    <w:rsid w:val="00E70098"/>
    <w:rsid w:val="00E70CC4"/>
    <w:rsid w:val="00E75282"/>
    <w:rsid w:val="00E76C26"/>
    <w:rsid w:val="00E819F6"/>
    <w:rsid w:val="00E8297B"/>
    <w:rsid w:val="00E82BF6"/>
    <w:rsid w:val="00E82E9B"/>
    <w:rsid w:val="00E82F9D"/>
    <w:rsid w:val="00E91592"/>
    <w:rsid w:val="00E93A19"/>
    <w:rsid w:val="00E94F4B"/>
    <w:rsid w:val="00E957AD"/>
    <w:rsid w:val="00E95E54"/>
    <w:rsid w:val="00EA12D6"/>
    <w:rsid w:val="00EA28E6"/>
    <w:rsid w:val="00EA2AD9"/>
    <w:rsid w:val="00EA6DB4"/>
    <w:rsid w:val="00EA706E"/>
    <w:rsid w:val="00EB18DB"/>
    <w:rsid w:val="00EB1BAB"/>
    <w:rsid w:val="00EC2204"/>
    <w:rsid w:val="00EC3C20"/>
    <w:rsid w:val="00EC3F3D"/>
    <w:rsid w:val="00EC5FD4"/>
    <w:rsid w:val="00EC6CC6"/>
    <w:rsid w:val="00ED0686"/>
    <w:rsid w:val="00ED4D57"/>
    <w:rsid w:val="00EE2C65"/>
    <w:rsid w:val="00EE40FC"/>
    <w:rsid w:val="00EE606D"/>
    <w:rsid w:val="00EF2624"/>
    <w:rsid w:val="00EF266D"/>
    <w:rsid w:val="00EF312B"/>
    <w:rsid w:val="00EF408F"/>
    <w:rsid w:val="00EF5F86"/>
    <w:rsid w:val="00EF672C"/>
    <w:rsid w:val="00F03D89"/>
    <w:rsid w:val="00F046CB"/>
    <w:rsid w:val="00F048AA"/>
    <w:rsid w:val="00F0540C"/>
    <w:rsid w:val="00F055E7"/>
    <w:rsid w:val="00F06A75"/>
    <w:rsid w:val="00F0770E"/>
    <w:rsid w:val="00F12C6F"/>
    <w:rsid w:val="00F155ED"/>
    <w:rsid w:val="00F177AA"/>
    <w:rsid w:val="00F231F6"/>
    <w:rsid w:val="00F24CAE"/>
    <w:rsid w:val="00F268CD"/>
    <w:rsid w:val="00F27F33"/>
    <w:rsid w:val="00F3170E"/>
    <w:rsid w:val="00F3179F"/>
    <w:rsid w:val="00F31CC5"/>
    <w:rsid w:val="00F3449A"/>
    <w:rsid w:val="00F43583"/>
    <w:rsid w:val="00F43DBD"/>
    <w:rsid w:val="00F44C2E"/>
    <w:rsid w:val="00F468A5"/>
    <w:rsid w:val="00F46A9F"/>
    <w:rsid w:val="00F525F0"/>
    <w:rsid w:val="00F57A83"/>
    <w:rsid w:val="00F61252"/>
    <w:rsid w:val="00F64CD6"/>
    <w:rsid w:val="00F70CC6"/>
    <w:rsid w:val="00F7124C"/>
    <w:rsid w:val="00F735DF"/>
    <w:rsid w:val="00F73972"/>
    <w:rsid w:val="00F7604E"/>
    <w:rsid w:val="00F81213"/>
    <w:rsid w:val="00F853BD"/>
    <w:rsid w:val="00F8603A"/>
    <w:rsid w:val="00F92B81"/>
    <w:rsid w:val="00F94D4A"/>
    <w:rsid w:val="00F96E6A"/>
    <w:rsid w:val="00FA2C98"/>
    <w:rsid w:val="00FA61D1"/>
    <w:rsid w:val="00FA678A"/>
    <w:rsid w:val="00FB5596"/>
    <w:rsid w:val="00FB6703"/>
    <w:rsid w:val="00FC0CE2"/>
    <w:rsid w:val="00FC34BA"/>
    <w:rsid w:val="00FD2140"/>
    <w:rsid w:val="00FD4139"/>
    <w:rsid w:val="00FE0D19"/>
    <w:rsid w:val="00FE0F1F"/>
    <w:rsid w:val="00FE1986"/>
    <w:rsid w:val="00FE2A81"/>
    <w:rsid w:val="00FE3EA8"/>
    <w:rsid w:val="00FE6DA4"/>
    <w:rsid w:val="00FF06C3"/>
    <w:rsid w:val="00FF4EA7"/>
    <w:rsid w:val="00FF6C5E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E7D"/>
  <w15:docId w15:val="{13E2FB74-610E-4DDC-9602-CADEB189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ln"/>
    <w:rsid w:val="00E008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aliases w:val="Header Char Char"/>
    <w:basedOn w:val="Normln"/>
    <w:link w:val="ZhlavChar"/>
    <w:rsid w:val="00EC3F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3F3D"/>
  </w:style>
  <w:style w:type="paragraph" w:customStyle="1" w:styleId="Char">
    <w:name w:val="Char"/>
    <w:basedOn w:val="Normln"/>
    <w:rsid w:val="00DE51C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0B0677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85316D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Char4CharCharCharCharCharCharCharCharChar">
    <w:name w:val="Char4 Char Char Char Char Char Char Char Char Char"/>
    <w:basedOn w:val="Normln"/>
    <w:rsid w:val="00A16E9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431DA5"/>
    <w:pPr>
      <w:jc w:val="both"/>
    </w:pPr>
    <w:rPr>
      <w:szCs w:val="20"/>
    </w:rPr>
  </w:style>
  <w:style w:type="paragraph" w:styleId="Odstavecseseznamem">
    <w:name w:val="List Paragraph"/>
    <w:basedOn w:val="Normln"/>
    <w:qFormat/>
    <w:rsid w:val="00017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2634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rsid w:val="007E4C3C"/>
    <w:pPr>
      <w:spacing w:after="120"/>
      <w:ind w:left="283"/>
    </w:pPr>
  </w:style>
  <w:style w:type="paragraph" w:customStyle="1" w:styleId="CharCharCharCharChar">
    <w:name w:val="Char Char Char Char Char"/>
    <w:basedOn w:val="Normln"/>
    <w:rsid w:val="00B402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aliases w:val="Header Char Char Char"/>
    <w:link w:val="Zhlav"/>
    <w:rsid w:val="001D0C17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sid w:val="00AA02B7"/>
    <w:rPr>
      <w:sz w:val="20"/>
      <w:szCs w:val="20"/>
    </w:rPr>
  </w:style>
  <w:style w:type="character" w:styleId="Znakapoznpodarou">
    <w:name w:val="footnote reference"/>
    <w:semiHidden/>
    <w:rsid w:val="00AA02B7"/>
    <w:rPr>
      <w:vertAlign w:val="superscript"/>
    </w:rPr>
  </w:style>
  <w:style w:type="paragraph" w:customStyle="1" w:styleId="Zkladntext21">
    <w:name w:val="Základní text 21"/>
    <w:basedOn w:val="Normln"/>
    <w:rsid w:val="00375154"/>
    <w:pPr>
      <w:framePr w:hSpace="141" w:wrap="auto" w:vAnchor="text" w:hAnchor="margin" w:y="178"/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harCharCharCharCharChar">
    <w:name w:val="Char Char Char Char Char Char"/>
    <w:basedOn w:val="Normln"/>
    <w:rsid w:val="00D31F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8A0483"/>
    <w:rPr>
      <w:sz w:val="24"/>
    </w:rPr>
  </w:style>
  <w:style w:type="character" w:customStyle="1" w:styleId="affairetitle">
    <w:name w:val="affaire_title"/>
    <w:rsid w:val="008A0483"/>
  </w:style>
  <w:style w:type="paragraph" w:customStyle="1" w:styleId="Parlament">
    <w:name w:val="Parlament"/>
    <w:basedOn w:val="Normln"/>
    <w:next w:val="Normln"/>
    <w:semiHidden/>
    <w:rsid w:val="001E2B64"/>
    <w:pPr>
      <w:keepNext/>
      <w:keepLines/>
      <w:spacing w:before="360" w:after="240"/>
      <w:jc w:val="both"/>
    </w:pPr>
    <w:rPr>
      <w:szCs w:val="20"/>
    </w:rPr>
  </w:style>
  <w:style w:type="character" w:customStyle="1" w:styleId="TextodstavceChar">
    <w:name w:val="Text odstavce Char"/>
    <w:rsid w:val="001E2B64"/>
    <w:rPr>
      <w:sz w:val="24"/>
      <w:lang w:val="cs-CZ" w:eastAsia="cs-CZ" w:bidi="ar-SA"/>
    </w:rPr>
  </w:style>
  <w:style w:type="paragraph" w:customStyle="1" w:styleId="StylD">
    <w:name w:val="StylD"/>
    <w:basedOn w:val="Normln"/>
    <w:rsid w:val="002B52FB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Standard">
    <w:name w:val="Standard"/>
    <w:rsid w:val="00F177AA"/>
    <w:pPr>
      <w:suppressAutoHyphens/>
      <w:autoSpaceDN w:val="0"/>
      <w:textAlignment w:val="baseline"/>
    </w:pPr>
    <w:rPr>
      <w:kern w:val="3"/>
      <w:sz w:val="24"/>
    </w:rPr>
  </w:style>
  <w:style w:type="paragraph" w:customStyle="1" w:styleId="CharChar">
    <w:name w:val="Char Char"/>
    <w:basedOn w:val="Normln"/>
    <w:uiPriority w:val="99"/>
    <w:rsid w:val="00FB67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CE1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81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C34F7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D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D3D"/>
  </w:style>
  <w:style w:type="character" w:styleId="Odkaznakoment">
    <w:name w:val="annotation reference"/>
    <w:basedOn w:val="Standardnpsmoodstavce"/>
    <w:uiPriority w:val="99"/>
    <w:semiHidden/>
    <w:unhideWhenUsed/>
    <w:rsid w:val="00173D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C2F6-02C6-400A-A076-39F704B2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2569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UVCR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Kvěchová Ivana</dc:creator>
  <cp:lastModifiedBy>Antalová Nikola</cp:lastModifiedBy>
  <cp:revision>3</cp:revision>
  <cp:lastPrinted>2025-12-03T11:21:00Z</cp:lastPrinted>
  <dcterms:created xsi:type="dcterms:W3CDTF">2025-12-03T11:21:00Z</dcterms:created>
  <dcterms:modified xsi:type="dcterms:W3CDTF">2025-12-03T11:21:00Z</dcterms:modified>
</cp:coreProperties>
</file>